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9E1A" w14:textId="3318B114" w:rsidR="00F41706" w:rsidRPr="005F4139" w:rsidRDefault="00A12FE9" w:rsidP="009467B2">
      <w:pPr>
        <w:jc w:val="center"/>
        <w:rPr>
          <w:rStyle w:val="BookTitle"/>
          <w:rFonts w:asciiTheme="majorHAnsi" w:hAnsiTheme="majorHAnsi" w:cstheme="majorHAnsi"/>
          <w:i w:val="0"/>
          <w:iCs w:val="0"/>
          <w:sz w:val="28"/>
          <w:szCs w:val="28"/>
        </w:rPr>
      </w:pPr>
      <w:r w:rsidRPr="005F4139">
        <w:rPr>
          <w:rStyle w:val="BookTitle"/>
          <w:rFonts w:asciiTheme="majorHAnsi" w:hAnsiTheme="majorHAnsi" w:cstheme="majorHAnsi"/>
          <w:i w:val="0"/>
          <w:iCs w:val="0"/>
          <w:sz w:val="28"/>
          <w:szCs w:val="28"/>
        </w:rPr>
        <w:t xml:space="preserve">Detection of </w:t>
      </w:r>
      <w:r w:rsidR="005F4139" w:rsidRPr="005F4139">
        <w:rPr>
          <w:rStyle w:val="BookTitle"/>
          <w:rFonts w:asciiTheme="majorHAnsi" w:hAnsiTheme="majorHAnsi" w:cstheme="majorHAnsi"/>
          <w:i w:val="0"/>
          <w:iCs w:val="0"/>
          <w:sz w:val="28"/>
          <w:szCs w:val="28"/>
        </w:rPr>
        <w:t>V</w:t>
      </w:r>
      <w:r w:rsidRPr="005F4139">
        <w:rPr>
          <w:rStyle w:val="BookTitle"/>
          <w:rFonts w:asciiTheme="majorHAnsi" w:hAnsiTheme="majorHAnsi" w:cstheme="majorHAnsi"/>
          <w:i w:val="0"/>
          <w:iCs w:val="0"/>
          <w:sz w:val="28"/>
          <w:szCs w:val="28"/>
        </w:rPr>
        <w:t xml:space="preserve">irulence </w:t>
      </w:r>
      <w:r w:rsidR="005F4139" w:rsidRPr="005F4139">
        <w:rPr>
          <w:rStyle w:val="BookTitle"/>
          <w:rFonts w:asciiTheme="majorHAnsi" w:hAnsiTheme="majorHAnsi" w:cstheme="majorHAnsi"/>
          <w:i w:val="0"/>
          <w:iCs w:val="0"/>
          <w:sz w:val="28"/>
          <w:szCs w:val="28"/>
        </w:rPr>
        <w:t>P</w:t>
      </w:r>
      <w:r w:rsidRPr="005F4139">
        <w:rPr>
          <w:rStyle w:val="BookTitle"/>
          <w:rFonts w:asciiTheme="majorHAnsi" w:hAnsiTheme="majorHAnsi" w:cstheme="majorHAnsi"/>
          <w:i w:val="0"/>
          <w:iCs w:val="0"/>
          <w:sz w:val="28"/>
          <w:szCs w:val="28"/>
        </w:rPr>
        <w:t xml:space="preserve">lasmids and </w:t>
      </w:r>
      <w:r w:rsidR="005F4139" w:rsidRPr="005F4139">
        <w:rPr>
          <w:rStyle w:val="BookTitle"/>
          <w:rFonts w:asciiTheme="majorHAnsi" w:hAnsiTheme="majorHAnsi" w:cstheme="majorHAnsi"/>
          <w:i w:val="0"/>
          <w:iCs w:val="0"/>
          <w:sz w:val="28"/>
          <w:szCs w:val="28"/>
        </w:rPr>
        <w:t>A</w:t>
      </w:r>
      <w:r w:rsidRPr="005F4139">
        <w:rPr>
          <w:rStyle w:val="BookTitle"/>
          <w:rFonts w:asciiTheme="majorHAnsi" w:hAnsiTheme="majorHAnsi" w:cstheme="majorHAnsi"/>
          <w:i w:val="0"/>
          <w:iCs w:val="0"/>
          <w:sz w:val="28"/>
          <w:szCs w:val="28"/>
        </w:rPr>
        <w:t xml:space="preserve">ntimicrobial </w:t>
      </w:r>
      <w:r w:rsidR="005F4139" w:rsidRPr="005F4139">
        <w:rPr>
          <w:rStyle w:val="BookTitle"/>
          <w:rFonts w:asciiTheme="majorHAnsi" w:hAnsiTheme="majorHAnsi" w:cstheme="majorHAnsi"/>
          <w:i w:val="0"/>
          <w:iCs w:val="0"/>
          <w:sz w:val="28"/>
          <w:szCs w:val="28"/>
        </w:rPr>
        <w:t>R</w:t>
      </w:r>
      <w:r w:rsidRPr="005F4139">
        <w:rPr>
          <w:rStyle w:val="BookTitle"/>
          <w:rFonts w:asciiTheme="majorHAnsi" w:hAnsiTheme="majorHAnsi" w:cstheme="majorHAnsi"/>
          <w:i w:val="0"/>
          <w:iCs w:val="0"/>
          <w:sz w:val="28"/>
          <w:szCs w:val="28"/>
        </w:rPr>
        <w:t xml:space="preserve">esistance in </w:t>
      </w:r>
      <w:r w:rsidRPr="005F4139">
        <w:rPr>
          <w:rStyle w:val="BookTitle"/>
          <w:rFonts w:asciiTheme="majorHAnsi" w:hAnsiTheme="majorHAnsi" w:cstheme="majorHAnsi"/>
          <w:sz w:val="28"/>
          <w:szCs w:val="28"/>
        </w:rPr>
        <w:t>Salmonella</w:t>
      </w:r>
      <w:r w:rsidRPr="005F4139">
        <w:rPr>
          <w:rStyle w:val="BookTitle"/>
          <w:rFonts w:asciiTheme="majorHAnsi" w:hAnsiTheme="majorHAnsi" w:cstheme="majorHAnsi"/>
          <w:i w:val="0"/>
          <w:iCs w:val="0"/>
          <w:sz w:val="28"/>
          <w:szCs w:val="28"/>
        </w:rPr>
        <w:t xml:space="preserve"> </w:t>
      </w:r>
      <w:r w:rsidR="005F4139" w:rsidRPr="005F4139">
        <w:rPr>
          <w:rStyle w:val="BookTitle"/>
          <w:rFonts w:asciiTheme="majorHAnsi" w:hAnsiTheme="majorHAnsi" w:cstheme="majorHAnsi"/>
          <w:i w:val="0"/>
          <w:iCs w:val="0"/>
          <w:sz w:val="28"/>
          <w:szCs w:val="28"/>
        </w:rPr>
        <w:t>I</w:t>
      </w:r>
      <w:r w:rsidRPr="005F4139">
        <w:rPr>
          <w:rStyle w:val="BookTitle"/>
          <w:rFonts w:asciiTheme="majorHAnsi" w:hAnsiTheme="majorHAnsi" w:cstheme="majorHAnsi"/>
          <w:i w:val="0"/>
          <w:iCs w:val="0"/>
          <w:sz w:val="28"/>
          <w:szCs w:val="28"/>
        </w:rPr>
        <w:t xml:space="preserve">solated from </w:t>
      </w:r>
      <w:r w:rsidR="005F4139" w:rsidRPr="005F4139">
        <w:rPr>
          <w:rStyle w:val="BookTitle"/>
          <w:rFonts w:asciiTheme="majorHAnsi" w:hAnsiTheme="majorHAnsi" w:cstheme="majorHAnsi"/>
          <w:i w:val="0"/>
          <w:iCs w:val="0"/>
          <w:sz w:val="28"/>
          <w:szCs w:val="28"/>
        </w:rPr>
        <w:t>C</w:t>
      </w:r>
      <w:r w:rsidRPr="005F4139">
        <w:rPr>
          <w:rStyle w:val="BookTitle"/>
          <w:rFonts w:asciiTheme="majorHAnsi" w:hAnsiTheme="majorHAnsi" w:cstheme="majorHAnsi"/>
          <w:i w:val="0"/>
          <w:iCs w:val="0"/>
          <w:sz w:val="28"/>
          <w:szCs w:val="28"/>
        </w:rPr>
        <w:t xml:space="preserve">attle — </w:t>
      </w:r>
      <w:r w:rsidR="00F41706" w:rsidRPr="005F4139">
        <w:rPr>
          <w:rStyle w:val="BookTitle"/>
          <w:rFonts w:asciiTheme="majorHAnsi" w:hAnsiTheme="majorHAnsi" w:cstheme="majorHAnsi"/>
          <w:i w:val="0"/>
          <w:iCs w:val="0"/>
          <w:sz w:val="28"/>
          <w:szCs w:val="28"/>
        </w:rPr>
        <w:t>Project Report</w:t>
      </w:r>
    </w:p>
    <w:p w14:paraId="2991A453" w14:textId="1D699797" w:rsidR="00B355B9" w:rsidRPr="009467B2" w:rsidRDefault="00B56C44" w:rsidP="00B355B9">
      <w:pPr>
        <w:jc w:val="both"/>
      </w:pPr>
      <w:r w:rsidRPr="009467B2">
        <w:t xml:space="preserve">Non-typhoidal </w:t>
      </w:r>
      <w:r w:rsidRPr="009467B2">
        <w:rPr>
          <w:i/>
          <w:iCs/>
        </w:rPr>
        <w:t>Salmonella</w:t>
      </w:r>
      <w:r w:rsidRPr="009467B2">
        <w:t xml:space="preserve"> are zoonotic pathogens of major public health concern (GBD 2017 Non-Typhoidal </w:t>
      </w:r>
      <w:r w:rsidRPr="009467B2">
        <w:rPr>
          <w:i/>
          <w:iCs/>
        </w:rPr>
        <w:t>Salmonella</w:t>
      </w:r>
      <w:r w:rsidRPr="009467B2">
        <w:t xml:space="preserve"> Invasive Disease Collaborators, 2019). Comprised of over 2,600 serovars, the serovar of the infecting </w:t>
      </w:r>
      <w:r w:rsidRPr="009467B2">
        <w:rPr>
          <w:i/>
          <w:iCs/>
        </w:rPr>
        <w:t>Salmonella</w:t>
      </w:r>
      <w:r w:rsidRPr="009467B2">
        <w:t xml:space="preserve"> dictates disease type i.e., gastroenteritis, which is contained within the intestine</w:t>
      </w:r>
      <w:r w:rsidR="001E7542">
        <w:t>,</w:t>
      </w:r>
      <w:r w:rsidRPr="009467B2">
        <w:t xml:space="preserve"> or </w:t>
      </w:r>
      <w:r w:rsidR="00455B86">
        <w:t>non-</w:t>
      </w:r>
      <w:r w:rsidRPr="009467B2">
        <w:t xml:space="preserve">typhoidal systemic disease with bacteraemia (dos Santos, Ferrari, and Conte-Junior, 2019). The virulence factors possessed by the infecting </w:t>
      </w:r>
      <w:r w:rsidRPr="009467B2">
        <w:rPr>
          <w:i/>
          <w:iCs/>
        </w:rPr>
        <w:t>Salmonella</w:t>
      </w:r>
      <w:r w:rsidRPr="009467B2">
        <w:t xml:space="preserve"> can dictate disease severity. For example, the </w:t>
      </w:r>
      <w:r w:rsidRPr="009467B2">
        <w:rPr>
          <w:i/>
          <w:iCs/>
        </w:rPr>
        <w:t>Salmonella</w:t>
      </w:r>
      <w:r w:rsidRPr="009467B2">
        <w:t xml:space="preserve"> virulence plasmid (pSV)</w:t>
      </w:r>
      <w:r w:rsidR="00F669DD">
        <w:t>,</w:t>
      </w:r>
      <w:r w:rsidRPr="009467B2">
        <w:t xml:space="preserve"> which is associated with several serovars</w:t>
      </w:r>
      <w:r w:rsidR="00F669DD">
        <w:t>,</w:t>
      </w:r>
      <w:r w:rsidRPr="009467B2">
        <w:t xml:space="preserve"> plays a role in intracellular survival and systemic spread of the infection (Guiney and </w:t>
      </w:r>
      <w:proofErr w:type="spellStart"/>
      <w:r w:rsidRPr="009467B2">
        <w:t>Fierer</w:t>
      </w:r>
      <w:proofErr w:type="spellEnd"/>
      <w:r w:rsidRPr="009467B2">
        <w:t xml:space="preserve">, 2011). Antimicrobial resistance (AMR) profiles can also affect disease severity and it is crucial to determine AMR profiles of infecting </w:t>
      </w:r>
      <w:r w:rsidRPr="009467B2">
        <w:rPr>
          <w:i/>
          <w:iCs/>
        </w:rPr>
        <w:t>Salmonella</w:t>
      </w:r>
      <w:r w:rsidRPr="009467B2">
        <w:t xml:space="preserve"> to facilitate treatment.</w:t>
      </w:r>
      <w:r w:rsidR="00B355B9" w:rsidRPr="009467B2">
        <w:t xml:space="preserve"> </w:t>
      </w:r>
    </w:p>
    <w:p w14:paraId="54E3E2F4" w14:textId="6743C9DF" w:rsidR="002E2647" w:rsidRPr="009467B2" w:rsidRDefault="002E2647" w:rsidP="009C3736">
      <w:pPr>
        <w:jc w:val="both"/>
      </w:pPr>
      <w:r w:rsidRPr="009467B2">
        <w:t>The aims of this project were:</w:t>
      </w:r>
      <w:r w:rsidR="008E3724" w:rsidRPr="009467B2">
        <w:t xml:space="preserve"> (1)</w:t>
      </w:r>
      <w:r w:rsidR="003842CC" w:rsidRPr="009467B2">
        <w:t xml:space="preserve"> </w:t>
      </w:r>
      <w:r w:rsidRPr="009467B2">
        <w:t xml:space="preserve">to </w:t>
      </w:r>
      <w:r w:rsidR="00D6589C" w:rsidRPr="009467B2">
        <w:t xml:space="preserve">test 37 </w:t>
      </w:r>
      <w:r w:rsidR="00D6589C" w:rsidRPr="009467B2">
        <w:rPr>
          <w:i/>
          <w:iCs/>
        </w:rPr>
        <w:t xml:space="preserve">Salmonella </w:t>
      </w:r>
      <w:r w:rsidR="00D6589C" w:rsidRPr="009467B2">
        <w:t>cattle isolates belonging to 10 different serovars</w:t>
      </w:r>
      <w:r w:rsidR="001F007E" w:rsidRPr="009467B2">
        <w:t>—</w:t>
      </w:r>
      <w:r w:rsidR="00D6589C" w:rsidRPr="009467B2">
        <w:t>Agona, Anatum, Cerro, Dublin, Kentucky, Meleagridis, Montevideo, Reading, and Typhimurium</w:t>
      </w:r>
      <w:r w:rsidR="001F007E" w:rsidRPr="009467B2">
        <w:t>—</w:t>
      </w:r>
      <w:r w:rsidR="00D6589C" w:rsidRPr="009467B2">
        <w:t>for the presence of pSV</w:t>
      </w:r>
      <w:r w:rsidR="00475882" w:rsidRPr="009467B2">
        <w:t>,</w:t>
      </w:r>
      <w:r w:rsidR="00D6589C" w:rsidRPr="009467B2">
        <w:t xml:space="preserve"> and (2) </w:t>
      </w:r>
      <w:r w:rsidR="00475882" w:rsidRPr="009467B2">
        <w:t xml:space="preserve">to </w:t>
      </w:r>
      <w:r w:rsidR="00D6589C" w:rsidRPr="009467B2">
        <w:t xml:space="preserve">determine their susceptibility to a </w:t>
      </w:r>
      <w:r w:rsidR="00603621" w:rsidRPr="009467B2">
        <w:t xml:space="preserve">range of </w:t>
      </w:r>
      <w:r w:rsidR="00475882" w:rsidRPr="009467B2">
        <w:t>clinically-relevant</w:t>
      </w:r>
      <w:r w:rsidR="00603621" w:rsidRPr="009467B2">
        <w:t xml:space="preserve"> antibiotics</w:t>
      </w:r>
      <w:r w:rsidR="003842CC" w:rsidRPr="009467B2">
        <w:t>—</w:t>
      </w:r>
      <w:r w:rsidR="00603621" w:rsidRPr="009467B2">
        <w:t xml:space="preserve">ampicillin, chloramphenicol, kanamycin, nalidixic acid, </w:t>
      </w:r>
      <w:r w:rsidR="00F4432F" w:rsidRPr="009467B2">
        <w:t>streptomycin, and tetracycline.</w:t>
      </w:r>
      <w:r w:rsidR="00857186" w:rsidRPr="009467B2">
        <w:t xml:space="preserve"> </w:t>
      </w:r>
    </w:p>
    <w:p w14:paraId="28C63683" w14:textId="38A01E1B" w:rsidR="00F42193" w:rsidRPr="009467B2" w:rsidRDefault="007E0F64" w:rsidP="009C3736">
      <w:pPr>
        <w:jc w:val="both"/>
      </w:pPr>
      <w:r w:rsidRPr="009467B2">
        <w:t xml:space="preserve">To determine the presence of pSV, the native plasmids of each isolate were extracted by lysing the bacterial cells, removing the cell contents by centrifugation, and then washing away any smaller contaminants with isopropanol and </w:t>
      </w:r>
      <w:r w:rsidRPr="009E7D79">
        <w:t>70% ethanol</w:t>
      </w:r>
      <w:r w:rsidR="009E7D79">
        <w:t xml:space="preserve"> (Delaney, Murphy, and Walsh, 2018</w:t>
      </w:r>
      <w:r w:rsidR="00AA1A34">
        <w:t>; QIAGEN, 2020</w:t>
      </w:r>
      <w:r w:rsidR="009E7D79">
        <w:t>)</w:t>
      </w:r>
      <w:r w:rsidRPr="009E7D79">
        <w:t>.</w:t>
      </w:r>
      <w:r w:rsidR="00F42193" w:rsidRPr="009467B2">
        <w:t xml:space="preserve"> Subsequently, PCR was performed for the </w:t>
      </w:r>
      <w:r w:rsidR="00F42193" w:rsidRPr="009467B2">
        <w:rPr>
          <w:i/>
          <w:iCs/>
        </w:rPr>
        <w:t>spvABC</w:t>
      </w:r>
      <w:r w:rsidR="00F42193" w:rsidRPr="009467B2">
        <w:t xml:space="preserve"> genes of the </w:t>
      </w:r>
      <w:r w:rsidR="00F42193" w:rsidRPr="009467B2">
        <w:rPr>
          <w:i/>
          <w:iCs/>
        </w:rPr>
        <w:t>spv</w:t>
      </w:r>
      <w:r w:rsidR="00F42193" w:rsidRPr="009467B2">
        <w:t xml:space="preserve"> operon, which is carried on all pSV. pSV was detected in 48.6% (n = 18) of isolates, which belonged to the following serovars: </w:t>
      </w:r>
      <w:r w:rsidR="00CF01B9" w:rsidRPr="009467B2">
        <w:t xml:space="preserve">Anatum (n = 4), Cerro (n = 4), </w:t>
      </w:r>
      <w:r w:rsidR="005C1F8E" w:rsidRPr="009467B2">
        <w:t xml:space="preserve">Dublin (n = 3), Meleagridis (n = 3), Montevideo (n = </w:t>
      </w:r>
      <w:r w:rsidR="00204399" w:rsidRPr="009467B2">
        <w:t>1</w:t>
      </w:r>
      <w:r w:rsidR="005C1F8E" w:rsidRPr="009467B2">
        <w:t>), and Typhimurium (n = 3).</w:t>
      </w:r>
      <w:r w:rsidR="00B2506E" w:rsidRPr="009467B2">
        <w:t xml:space="preserve"> </w:t>
      </w:r>
      <w:r w:rsidR="00F42193" w:rsidRPr="009467B2">
        <w:t>The presence of pSV in Anatum, Cerro, Meleagridis, and Montevideo were interesting findings as these serovars are not routinely reported in the literature to carry pSV.</w:t>
      </w:r>
    </w:p>
    <w:p w14:paraId="4D4156AD" w14:textId="3F4C33BE" w:rsidR="00D35823" w:rsidRPr="009467B2" w:rsidRDefault="00A93E41" w:rsidP="009C3736">
      <w:pPr>
        <w:jc w:val="both"/>
      </w:pPr>
      <w:r w:rsidRPr="009467B2">
        <w:t>To</w:t>
      </w:r>
      <w:r w:rsidR="009C3736" w:rsidRPr="009467B2">
        <w:t xml:space="preserve"> determine antibiotic susceptibility</w:t>
      </w:r>
      <w:r w:rsidRPr="009467B2">
        <w:t>,</w:t>
      </w:r>
      <w:r w:rsidR="009C3736" w:rsidRPr="009467B2">
        <w:t xml:space="preserve"> the agar dilution method was </w:t>
      </w:r>
      <w:r w:rsidR="00720C29" w:rsidRPr="009467B2">
        <w:t>used</w:t>
      </w:r>
      <w:r w:rsidR="00A45E5F" w:rsidRPr="009467B2">
        <w:t>. Th</w:t>
      </w:r>
      <w:r w:rsidR="008E4AEA" w:rsidRPr="009467B2">
        <w:t xml:space="preserve">e </w:t>
      </w:r>
      <w:r w:rsidR="00A45E5F" w:rsidRPr="009467B2">
        <w:t xml:space="preserve">bacteria were </w:t>
      </w:r>
      <w:r w:rsidR="008E4AEA" w:rsidRPr="009467B2">
        <w:t>plated in different antibiotic concentrations</w:t>
      </w:r>
      <w:r w:rsidR="00A45E5F" w:rsidRPr="009467B2">
        <w:t>, a</w:t>
      </w:r>
      <w:r w:rsidR="008E4AEA" w:rsidRPr="009467B2">
        <w:t xml:space="preserve">ny subsequent growth was analysed </w:t>
      </w:r>
      <w:r w:rsidR="00FB75FE" w:rsidRPr="009467B2">
        <w:t>qualitatively</w:t>
      </w:r>
      <w:r w:rsidR="002D228A" w:rsidRPr="009467B2">
        <w:t>,</w:t>
      </w:r>
      <w:r w:rsidR="008E4AEA" w:rsidRPr="009467B2">
        <w:t xml:space="preserve"> and </w:t>
      </w:r>
      <w:r w:rsidR="00BB35A6" w:rsidRPr="009467B2">
        <w:t>based on the MIC breakpoints published by the CLSI and NARMS</w:t>
      </w:r>
      <w:r w:rsidR="00D078E8" w:rsidRPr="009467B2">
        <w:t xml:space="preserve">, the susceptibility of each isolate was determined (Table </w:t>
      </w:r>
      <w:r w:rsidR="00B534CF" w:rsidRPr="009467B2">
        <w:t>1).</w:t>
      </w:r>
      <w:r w:rsidR="009E311D" w:rsidRPr="009467B2">
        <w:t xml:space="preserve"> The results obtained were equally interesting and concerning in that multiple drug resistance (MDR)—defined as resistance to at least one antibiotic in three or more categories—was noted in 32.4% (n = 12) of isolates (</w:t>
      </w:r>
      <w:proofErr w:type="spellStart"/>
      <w:r w:rsidR="009E311D" w:rsidRPr="009467B2">
        <w:t>Magiorakos</w:t>
      </w:r>
      <w:proofErr w:type="spellEnd"/>
      <w:r w:rsidR="009E311D" w:rsidRPr="009467B2">
        <w:t xml:space="preserve"> </w:t>
      </w:r>
      <w:r w:rsidR="009E311D" w:rsidRPr="009467B2">
        <w:rPr>
          <w:i/>
          <w:iCs/>
        </w:rPr>
        <w:t>et al.</w:t>
      </w:r>
      <w:r w:rsidR="009E311D" w:rsidRPr="009467B2">
        <w:t>, 2011). Furthermore:</w:t>
      </w:r>
    </w:p>
    <w:p w14:paraId="4E0B74EA" w14:textId="174E2728" w:rsidR="00EA359A" w:rsidRPr="009467B2" w:rsidRDefault="00D35823" w:rsidP="00D35823">
      <w:pPr>
        <w:pStyle w:val="ListParagraph"/>
        <w:numPr>
          <w:ilvl w:val="0"/>
          <w:numId w:val="2"/>
        </w:numPr>
        <w:jc w:val="both"/>
      </w:pPr>
      <w:r w:rsidRPr="009467B2">
        <w:t>F</w:t>
      </w:r>
      <w:r w:rsidR="00EF4041" w:rsidRPr="009467B2">
        <w:t>our isolates (</w:t>
      </w:r>
      <w:r w:rsidR="00C4578C" w:rsidRPr="009467B2">
        <w:t xml:space="preserve">Agona, n = 1; </w:t>
      </w:r>
      <w:r w:rsidR="00AB33D6" w:rsidRPr="009467B2">
        <w:t>Dublin, n = 2;</w:t>
      </w:r>
      <w:r w:rsidR="00EF4041" w:rsidRPr="009467B2">
        <w:t xml:space="preserve"> </w:t>
      </w:r>
      <w:r w:rsidR="00AB33D6" w:rsidRPr="009467B2">
        <w:t>Newport, n = 1</w:t>
      </w:r>
      <w:r w:rsidR="00EF4041" w:rsidRPr="009467B2">
        <w:t>) were resistant to all six antibiotics</w:t>
      </w:r>
      <w:r w:rsidRPr="009467B2">
        <w:t>.</w:t>
      </w:r>
      <w:r w:rsidR="00EA359A" w:rsidRPr="009467B2">
        <w:t xml:space="preserve"> From these, one Dublin isolate was found to carry pSV.</w:t>
      </w:r>
      <w:r w:rsidR="00D804FB" w:rsidRPr="009467B2">
        <w:t xml:space="preserve"> </w:t>
      </w:r>
    </w:p>
    <w:p w14:paraId="2D2AEE8F" w14:textId="749A4AF6" w:rsidR="00E70427" w:rsidRPr="009467B2" w:rsidRDefault="00EA359A" w:rsidP="00901468">
      <w:pPr>
        <w:pStyle w:val="ListParagraph"/>
        <w:numPr>
          <w:ilvl w:val="0"/>
          <w:numId w:val="2"/>
        </w:numPr>
        <w:jc w:val="both"/>
      </w:pPr>
      <w:r w:rsidRPr="009467B2">
        <w:t>Five</w:t>
      </w:r>
      <w:r w:rsidR="00D804FB" w:rsidRPr="009467B2">
        <w:t xml:space="preserve"> isolates (Dublin,</w:t>
      </w:r>
      <w:r w:rsidRPr="009467B2">
        <w:t xml:space="preserve"> n = 1;</w:t>
      </w:r>
      <w:r w:rsidR="00D804FB" w:rsidRPr="009467B2">
        <w:t xml:space="preserve"> </w:t>
      </w:r>
      <w:r w:rsidRPr="009467B2">
        <w:t>Montevideo, n = 1</w:t>
      </w:r>
      <w:r w:rsidR="00C4578C" w:rsidRPr="009467B2">
        <w:t>; Newport, n = 1; Typhimurium, n = 2</w:t>
      </w:r>
      <w:r w:rsidR="00D804FB" w:rsidRPr="009467B2">
        <w:t>) were resistant to all antibiotics except kanamycin</w:t>
      </w:r>
      <w:r w:rsidRPr="009467B2">
        <w:t>.</w:t>
      </w:r>
      <w:r w:rsidR="007816D2" w:rsidRPr="009467B2">
        <w:t xml:space="preserve"> However, according to the CLSI</w:t>
      </w:r>
      <w:r w:rsidR="00D928D3" w:rsidRPr="009467B2">
        <w:t xml:space="preserve"> (2020)</w:t>
      </w:r>
      <w:r w:rsidR="00020836" w:rsidRPr="009467B2">
        <w:t xml:space="preserve">, for </w:t>
      </w:r>
      <w:r w:rsidR="00020836" w:rsidRPr="009467B2">
        <w:rPr>
          <w:i/>
          <w:iCs/>
        </w:rPr>
        <w:t xml:space="preserve">Salmonella </w:t>
      </w:r>
      <w:r w:rsidR="00020836" w:rsidRPr="009467B2">
        <w:t>spp., aminoglycosides</w:t>
      </w:r>
      <w:r w:rsidR="00EA6CAE" w:rsidRPr="009467B2">
        <w:t xml:space="preserve"> may</w:t>
      </w:r>
      <w:r w:rsidR="00901468" w:rsidRPr="009467B2">
        <w:t xml:space="preserve"> </w:t>
      </w:r>
      <w:r w:rsidR="00EA6CAE" w:rsidRPr="009467B2">
        <w:t xml:space="preserve">appear </w:t>
      </w:r>
      <w:r w:rsidR="00901468" w:rsidRPr="009467B2">
        <w:t xml:space="preserve">to inhibit growth </w:t>
      </w:r>
      <w:r w:rsidR="00901468" w:rsidRPr="009467B2">
        <w:rPr>
          <w:i/>
          <w:iCs/>
        </w:rPr>
        <w:t xml:space="preserve">in vitro </w:t>
      </w:r>
      <w:r w:rsidR="00901468" w:rsidRPr="009467B2">
        <w:t xml:space="preserve">but are not effective in a clinical setting. </w:t>
      </w:r>
      <w:r w:rsidR="00EA6CAE" w:rsidRPr="009467B2">
        <w:t xml:space="preserve">Therefore, it is very likely that </w:t>
      </w:r>
      <w:r w:rsidR="000261C8" w:rsidRPr="009467B2">
        <w:t xml:space="preserve">some or all </w:t>
      </w:r>
      <w:r w:rsidR="00E14ADD" w:rsidRPr="009467B2">
        <w:t xml:space="preserve">five </w:t>
      </w:r>
      <w:r w:rsidR="000261C8" w:rsidRPr="009467B2">
        <w:t>of these</w:t>
      </w:r>
      <w:r w:rsidR="00FC0E3E" w:rsidRPr="009467B2">
        <w:t xml:space="preserve"> isolates</w:t>
      </w:r>
      <w:r w:rsidR="000261C8" w:rsidRPr="009467B2">
        <w:t xml:space="preserve"> </w:t>
      </w:r>
      <w:r w:rsidR="00CF09CB" w:rsidRPr="009467B2">
        <w:t>are</w:t>
      </w:r>
      <w:r w:rsidR="00FC0E3E" w:rsidRPr="009467B2">
        <w:t>,</w:t>
      </w:r>
      <w:r w:rsidR="00CF09CB" w:rsidRPr="009467B2">
        <w:t xml:space="preserve"> in fact</w:t>
      </w:r>
      <w:r w:rsidR="00FC0E3E" w:rsidRPr="009467B2">
        <w:t>,</w:t>
      </w:r>
      <w:r w:rsidR="00CF09CB" w:rsidRPr="009467B2">
        <w:t xml:space="preserve"> resistant to all antibiotics tested as well</w:t>
      </w:r>
      <w:r w:rsidR="00145378" w:rsidRPr="009467B2">
        <w:t>.</w:t>
      </w:r>
      <w:r w:rsidR="00B231F5" w:rsidRPr="009467B2">
        <w:t xml:space="preserve"> From these,</w:t>
      </w:r>
      <w:r w:rsidR="00FD7C07" w:rsidRPr="009467B2">
        <w:t xml:space="preserve"> three isolates were found to carry pSV (</w:t>
      </w:r>
      <w:r w:rsidR="007E42D4" w:rsidRPr="009467B2">
        <w:t>Dublin, n = 1; Montevideo, n = 1</w:t>
      </w:r>
      <w:r w:rsidR="00315343" w:rsidRPr="009467B2">
        <w:t>; Typhimurium, n = 1</w:t>
      </w:r>
      <w:r w:rsidR="007E42D4" w:rsidRPr="009467B2">
        <w:t>).</w:t>
      </w:r>
    </w:p>
    <w:p w14:paraId="54BB76A2" w14:textId="2F4ADDEE" w:rsidR="00D928D3" w:rsidRDefault="00CF655E" w:rsidP="00901468">
      <w:pPr>
        <w:pStyle w:val="ListParagraph"/>
        <w:numPr>
          <w:ilvl w:val="0"/>
          <w:numId w:val="2"/>
        </w:numPr>
        <w:jc w:val="both"/>
      </w:pPr>
      <w:r w:rsidRPr="009467B2">
        <w:t>Of the remaining three isolates that displayed MDR</w:t>
      </w:r>
      <w:r w:rsidR="00172537" w:rsidRPr="009467B2">
        <w:t xml:space="preserve"> (Anatum, n = 1; Kentucky, n =1; </w:t>
      </w:r>
      <w:r w:rsidR="00315343" w:rsidRPr="009467B2">
        <w:t>Meleagridis, n = 1)</w:t>
      </w:r>
      <w:r w:rsidRPr="009467B2">
        <w:t>,</w:t>
      </w:r>
      <w:r w:rsidR="00A50106" w:rsidRPr="009467B2">
        <w:t xml:space="preserve"> only </w:t>
      </w:r>
      <w:r w:rsidR="00315343" w:rsidRPr="009467B2">
        <w:t>the Anatum isolate was found to carry pSV.</w:t>
      </w:r>
    </w:p>
    <w:p w14:paraId="6DE08552" w14:textId="13944ED1" w:rsidR="006768ED" w:rsidRPr="00E40FCC" w:rsidRDefault="00493A7F" w:rsidP="00683E83">
      <w:pPr>
        <w:jc w:val="both"/>
      </w:pPr>
      <w:r w:rsidRPr="00E40FCC">
        <w:rPr>
          <w:b/>
          <w:bCs/>
        </w:rPr>
        <w:t xml:space="preserve">Table 1. </w:t>
      </w:r>
      <w:r w:rsidR="00CA603D" w:rsidRPr="00E40FCC">
        <w:rPr>
          <w:b/>
          <w:bCs/>
          <w:i/>
          <w:iCs/>
        </w:rPr>
        <w:t xml:space="preserve">Summary of </w:t>
      </w:r>
      <w:r w:rsidR="00794AF2" w:rsidRPr="00E40FCC">
        <w:rPr>
          <w:b/>
          <w:bCs/>
          <w:i/>
          <w:iCs/>
        </w:rPr>
        <w:t xml:space="preserve">antibiotic susceptibility testing results. </w:t>
      </w:r>
      <w:r w:rsidR="00461DB7" w:rsidRPr="00E40FCC">
        <w:t>(</w:t>
      </w:r>
      <w:r w:rsidR="00685984" w:rsidRPr="00E40FCC">
        <w:t xml:space="preserve">*) </w:t>
      </w:r>
      <w:r w:rsidR="00083A06" w:rsidRPr="00E40FCC">
        <w:t xml:space="preserve">These percentages may not be indicative of the </w:t>
      </w:r>
      <w:r w:rsidR="00653547" w:rsidRPr="00E40FCC">
        <w:t xml:space="preserve">true proportion of isolates that </w:t>
      </w:r>
      <w:r w:rsidR="007E6540" w:rsidRPr="00E40FCC">
        <w:t>is</w:t>
      </w:r>
      <w:r w:rsidR="00653547" w:rsidRPr="00E40FCC">
        <w:t xml:space="preserve"> susceptible to </w:t>
      </w:r>
      <w:r w:rsidR="009745F2" w:rsidRPr="00E40FCC">
        <w:t xml:space="preserve">this </w:t>
      </w:r>
      <w:r w:rsidR="00653547" w:rsidRPr="00E40FCC">
        <w:t>aminoglycoside</w:t>
      </w:r>
      <w:r w:rsidR="00D2587D" w:rsidRPr="00E40FCC">
        <w:t xml:space="preserve"> in a clinical setting</w:t>
      </w:r>
      <w:r w:rsidR="00653547" w:rsidRPr="00E40FCC">
        <w:t>.</w:t>
      </w:r>
      <w:r w:rsidR="00461DB7" w:rsidRPr="00E40FCC">
        <w:t xml:space="preserve"> </w:t>
      </w:r>
    </w:p>
    <w:tbl>
      <w:tblPr>
        <w:tblStyle w:val="TableGrid"/>
        <w:tblW w:w="0" w:type="auto"/>
        <w:tblLook w:val="04A0" w:firstRow="1" w:lastRow="0" w:firstColumn="1" w:lastColumn="0" w:noHBand="0" w:noVBand="1"/>
      </w:tblPr>
      <w:tblGrid>
        <w:gridCol w:w="1947"/>
        <w:gridCol w:w="1947"/>
        <w:gridCol w:w="1947"/>
        <w:gridCol w:w="1947"/>
        <w:gridCol w:w="1948"/>
      </w:tblGrid>
      <w:tr w:rsidR="00D04085" w:rsidRPr="00E40FCC" w14:paraId="2F539172" w14:textId="77777777" w:rsidTr="00455A72">
        <w:tc>
          <w:tcPr>
            <w:tcW w:w="1947" w:type="dxa"/>
            <w:vMerge w:val="restart"/>
            <w:vAlign w:val="center"/>
          </w:tcPr>
          <w:p w14:paraId="01ACDAA4" w14:textId="58B4E36A" w:rsidR="00D04085" w:rsidRPr="00E40FCC" w:rsidRDefault="00D04085" w:rsidP="00455A72">
            <w:pPr>
              <w:jc w:val="center"/>
              <w:rPr>
                <w:b/>
                <w:bCs/>
              </w:rPr>
            </w:pPr>
            <w:r w:rsidRPr="00E40FCC">
              <w:rPr>
                <w:b/>
                <w:bCs/>
              </w:rPr>
              <w:t>Antibiotic</w:t>
            </w:r>
          </w:p>
        </w:tc>
        <w:tc>
          <w:tcPr>
            <w:tcW w:w="7789" w:type="dxa"/>
            <w:gridSpan w:val="4"/>
          </w:tcPr>
          <w:p w14:paraId="036AB2A2" w14:textId="2CC2AFE6" w:rsidR="00423925" w:rsidRPr="00423925" w:rsidRDefault="00D04085" w:rsidP="00423925">
            <w:pPr>
              <w:jc w:val="center"/>
              <w:rPr>
                <w:b/>
                <w:bCs/>
              </w:rPr>
            </w:pPr>
            <w:r w:rsidRPr="00E40FCC">
              <w:rPr>
                <w:b/>
                <w:bCs/>
              </w:rPr>
              <w:t>Percentage (%)</w:t>
            </w:r>
          </w:p>
        </w:tc>
      </w:tr>
      <w:tr w:rsidR="004E7A09" w:rsidRPr="00E40FCC" w14:paraId="67B92DAC" w14:textId="77777777" w:rsidTr="008B5076">
        <w:tc>
          <w:tcPr>
            <w:tcW w:w="1947" w:type="dxa"/>
            <w:vMerge/>
          </w:tcPr>
          <w:p w14:paraId="33FF9CC7" w14:textId="77777777" w:rsidR="004E7A09" w:rsidRPr="00E40FCC" w:rsidRDefault="004E7A09" w:rsidP="00455A72">
            <w:pPr>
              <w:jc w:val="center"/>
            </w:pPr>
          </w:p>
        </w:tc>
        <w:tc>
          <w:tcPr>
            <w:tcW w:w="1947" w:type="dxa"/>
          </w:tcPr>
          <w:p w14:paraId="702E5A61" w14:textId="606E896A" w:rsidR="004E7A09" w:rsidRPr="00E40FCC" w:rsidRDefault="004E7A09" w:rsidP="00455A72">
            <w:pPr>
              <w:jc w:val="center"/>
            </w:pPr>
            <w:r w:rsidRPr="00E40FCC">
              <w:rPr>
                <w:b/>
                <w:bCs/>
              </w:rPr>
              <w:t>Susceptible</w:t>
            </w:r>
          </w:p>
        </w:tc>
        <w:tc>
          <w:tcPr>
            <w:tcW w:w="1947" w:type="dxa"/>
          </w:tcPr>
          <w:p w14:paraId="3D4E1E25" w14:textId="3FD2344B" w:rsidR="004E7A09" w:rsidRPr="00E40FCC" w:rsidRDefault="004E7A09" w:rsidP="00455A72">
            <w:pPr>
              <w:jc w:val="center"/>
            </w:pPr>
            <w:r w:rsidRPr="00E40FCC">
              <w:rPr>
                <w:b/>
                <w:bCs/>
              </w:rPr>
              <w:t>Intermediate</w:t>
            </w:r>
          </w:p>
        </w:tc>
        <w:tc>
          <w:tcPr>
            <w:tcW w:w="1947" w:type="dxa"/>
          </w:tcPr>
          <w:p w14:paraId="78E74249" w14:textId="02CDACEC" w:rsidR="004E7A09" w:rsidRPr="00E40FCC" w:rsidRDefault="004E7A09" w:rsidP="00455A72">
            <w:pPr>
              <w:jc w:val="center"/>
            </w:pPr>
            <w:r w:rsidRPr="00E40FCC">
              <w:rPr>
                <w:b/>
                <w:bCs/>
              </w:rPr>
              <w:t>Resistant</w:t>
            </w:r>
          </w:p>
        </w:tc>
        <w:tc>
          <w:tcPr>
            <w:tcW w:w="1948" w:type="dxa"/>
          </w:tcPr>
          <w:p w14:paraId="5AE6EA59" w14:textId="2F54BE79" w:rsidR="004E7A09" w:rsidRPr="00E40FCC" w:rsidRDefault="004E7A09" w:rsidP="00455A72">
            <w:pPr>
              <w:jc w:val="center"/>
            </w:pPr>
            <w:r w:rsidRPr="00E40FCC">
              <w:rPr>
                <w:b/>
                <w:bCs/>
              </w:rPr>
              <w:t>?</w:t>
            </w:r>
          </w:p>
        </w:tc>
      </w:tr>
      <w:tr w:rsidR="004E7A09" w:rsidRPr="00E40FCC" w14:paraId="0DABA547" w14:textId="77777777" w:rsidTr="00C505E1">
        <w:tc>
          <w:tcPr>
            <w:tcW w:w="1947" w:type="dxa"/>
            <w:vAlign w:val="center"/>
          </w:tcPr>
          <w:p w14:paraId="461A1B6A" w14:textId="15FE8AEA" w:rsidR="004E7A09" w:rsidRPr="00E40FCC" w:rsidRDefault="004E7A09" w:rsidP="00455A72">
            <w:pPr>
              <w:jc w:val="center"/>
            </w:pPr>
            <w:r w:rsidRPr="00E40FCC">
              <w:rPr>
                <w:b/>
                <w:bCs/>
              </w:rPr>
              <w:t>Ampicillin</w:t>
            </w:r>
          </w:p>
        </w:tc>
        <w:tc>
          <w:tcPr>
            <w:tcW w:w="1947" w:type="dxa"/>
            <w:vAlign w:val="center"/>
          </w:tcPr>
          <w:p w14:paraId="729A9BFA" w14:textId="0B9A99A1" w:rsidR="004E7A09" w:rsidRPr="00E40FCC" w:rsidRDefault="004E7A09" w:rsidP="00455A72">
            <w:pPr>
              <w:jc w:val="center"/>
            </w:pPr>
            <w:r w:rsidRPr="00E40FCC">
              <w:t>16.2</w:t>
            </w:r>
          </w:p>
        </w:tc>
        <w:tc>
          <w:tcPr>
            <w:tcW w:w="1947" w:type="dxa"/>
            <w:vAlign w:val="center"/>
          </w:tcPr>
          <w:p w14:paraId="305ECA4B" w14:textId="1DDA55FA" w:rsidR="004E7A09" w:rsidRPr="00E40FCC" w:rsidRDefault="004E7A09" w:rsidP="00455A72">
            <w:pPr>
              <w:jc w:val="center"/>
            </w:pPr>
            <w:r w:rsidRPr="00E40FCC">
              <w:t>45.9</w:t>
            </w:r>
          </w:p>
        </w:tc>
        <w:tc>
          <w:tcPr>
            <w:tcW w:w="1947" w:type="dxa"/>
            <w:vAlign w:val="center"/>
          </w:tcPr>
          <w:p w14:paraId="3F837E7B" w14:textId="7B0AFF00" w:rsidR="004E7A09" w:rsidRPr="00E40FCC" w:rsidRDefault="004E7A09" w:rsidP="00455A72">
            <w:pPr>
              <w:jc w:val="center"/>
            </w:pPr>
            <w:r w:rsidRPr="00E40FCC">
              <w:t>32.4</w:t>
            </w:r>
          </w:p>
        </w:tc>
        <w:tc>
          <w:tcPr>
            <w:tcW w:w="1948" w:type="dxa"/>
            <w:vAlign w:val="center"/>
          </w:tcPr>
          <w:p w14:paraId="3298095B" w14:textId="09726CD0" w:rsidR="004E7A09" w:rsidRPr="00E40FCC" w:rsidRDefault="004E7A09" w:rsidP="00455A72">
            <w:pPr>
              <w:jc w:val="center"/>
            </w:pPr>
            <w:r w:rsidRPr="00E40FCC">
              <w:t xml:space="preserve">5.4 </w:t>
            </w:r>
            <w:r w:rsidRPr="00E40FCC">
              <w:rPr>
                <w:i/>
                <w:iCs/>
              </w:rPr>
              <w:t>(n = 2)</w:t>
            </w:r>
          </w:p>
        </w:tc>
      </w:tr>
      <w:tr w:rsidR="004E7A09" w:rsidRPr="00E40FCC" w14:paraId="473AD05B" w14:textId="77777777" w:rsidTr="00C505E1">
        <w:tc>
          <w:tcPr>
            <w:tcW w:w="1947" w:type="dxa"/>
            <w:vAlign w:val="center"/>
          </w:tcPr>
          <w:p w14:paraId="0CF057A2" w14:textId="6123F338" w:rsidR="004E7A09" w:rsidRPr="00E40FCC" w:rsidRDefault="004E7A09" w:rsidP="00455A72">
            <w:pPr>
              <w:jc w:val="center"/>
            </w:pPr>
            <w:r w:rsidRPr="00E40FCC">
              <w:rPr>
                <w:b/>
                <w:bCs/>
              </w:rPr>
              <w:t>Chloramphenicol</w:t>
            </w:r>
          </w:p>
        </w:tc>
        <w:tc>
          <w:tcPr>
            <w:tcW w:w="1947" w:type="dxa"/>
            <w:vAlign w:val="center"/>
          </w:tcPr>
          <w:p w14:paraId="7B5E9639" w14:textId="45045B1A" w:rsidR="004E7A09" w:rsidRPr="00E40FCC" w:rsidRDefault="004E7A09" w:rsidP="00455A72">
            <w:pPr>
              <w:jc w:val="center"/>
            </w:pPr>
            <w:r w:rsidRPr="00E40FCC">
              <w:t>64.9</w:t>
            </w:r>
          </w:p>
        </w:tc>
        <w:tc>
          <w:tcPr>
            <w:tcW w:w="1947" w:type="dxa"/>
            <w:vAlign w:val="center"/>
          </w:tcPr>
          <w:p w14:paraId="76B607A2" w14:textId="7EE8842B" w:rsidR="004E7A09" w:rsidRPr="00E40FCC" w:rsidRDefault="004E7A09" w:rsidP="00455A72">
            <w:pPr>
              <w:jc w:val="center"/>
            </w:pPr>
            <w:r w:rsidRPr="00E40FCC">
              <w:t xml:space="preserve">2.7 </w:t>
            </w:r>
            <w:r w:rsidRPr="00E40FCC">
              <w:rPr>
                <w:i/>
                <w:iCs/>
              </w:rPr>
              <w:t>(n = 1)</w:t>
            </w:r>
          </w:p>
        </w:tc>
        <w:tc>
          <w:tcPr>
            <w:tcW w:w="1947" w:type="dxa"/>
            <w:vAlign w:val="center"/>
          </w:tcPr>
          <w:p w14:paraId="404FC6AA" w14:textId="54741916" w:rsidR="004E7A09" w:rsidRPr="00E40FCC" w:rsidRDefault="004E7A09" w:rsidP="00455A72">
            <w:pPr>
              <w:jc w:val="center"/>
            </w:pPr>
            <w:r w:rsidRPr="00E40FCC">
              <w:t>29.7</w:t>
            </w:r>
          </w:p>
        </w:tc>
        <w:tc>
          <w:tcPr>
            <w:tcW w:w="1948" w:type="dxa"/>
            <w:vAlign w:val="center"/>
          </w:tcPr>
          <w:p w14:paraId="4F85487D" w14:textId="758B81B9" w:rsidR="004E7A09" w:rsidRPr="00E40FCC" w:rsidRDefault="004E7A09" w:rsidP="00455A72">
            <w:pPr>
              <w:jc w:val="center"/>
            </w:pPr>
            <w:r w:rsidRPr="00E40FCC">
              <w:t xml:space="preserve">2.7 </w:t>
            </w:r>
            <w:r w:rsidRPr="00E40FCC">
              <w:rPr>
                <w:i/>
                <w:iCs/>
              </w:rPr>
              <w:t>(n = 1)</w:t>
            </w:r>
          </w:p>
        </w:tc>
      </w:tr>
      <w:tr w:rsidR="004E7A09" w:rsidRPr="00E40FCC" w14:paraId="348554C6" w14:textId="77777777" w:rsidTr="00C505E1">
        <w:tc>
          <w:tcPr>
            <w:tcW w:w="1947" w:type="dxa"/>
            <w:vAlign w:val="center"/>
          </w:tcPr>
          <w:p w14:paraId="365810F2" w14:textId="3B369EBC" w:rsidR="004E7A09" w:rsidRPr="00E40FCC" w:rsidRDefault="004E7A09" w:rsidP="00455A72">
            <w:pPr>
              <w:jc w:val="center"/>
            </w:pPr>
            <w:r w:rsidRPr="00E40FCC">
              <w:rPr>
                <w:b/>
                <w:bCs/>
              </w:rPr>
              <w:t>Kanamycin</w:t>
            </w:r>
          </w:p>
        </w:tc>
        <w:tc>
          <w:tcPr>
            <w:tcW w:w="1947" w:type="dxa"/>
            <w:vAlign w:val="center"/>
          </w:tcPr>
          <w:p w14:paraId="6B8EDE3E" w14:textId="5327D554" w:rsidR="004E7A09" w:rsidRPr="00E40FCC" w:rsidRDefault="004E7A09" w:rsidP="00455A72">
            <w:pPr>
              <w:jc w:val="center"/>
            </w:pPr>
            <w:r w:rsidRPr="00E40FCC">
              <w:rPr>
                <w:i/>
                <w:iCs/>
              </w:rPr>
              <w:t>64.9*</w:t>
            </w:r>
          </w:p>
        </w:tc>
        <w:tc>
          <w:tcPr>
            <w:tcW w:w="1947" w:type="dxa"/>
            <w:vAlign w:val="center"/>
          </w:tcPr>
          <w:p w14:paraId="62F0D18E" w14:textId="1E2E5F97" w:rsidR="004E7A09" w:rsidRPr="00E40FCC" w:rsidRDefault="004E7A09" w:rsidP="00455A72">
            <w:pPr>
              <w:jc w:val="center"/>
            </w:pPr>
            <w:r w:rsidRPr="00E40FCC">
              <w:t>13.5</w:t>
            </w:r>
          </w:p>
        </w:tc>
        <w:tc>
          <w:tcPr>
            <w:tcW w:w="1947" w:type="dxa"/>
            <w:vAlign w:val="center"/>
          </w:tcPr>
          <w:p w14:paraId="4BA4171E" w14:textId="046F34AC" w:rsidR="004E7A09" w:rsidRPr="00E40FCC" w:rsidRDefault="004E7A09" w:rsidP="00455A72">
            <w:pPr>
              <w:jc w:val="center"/>
            </w:pPr>
            <w:r w:rsidRPr="00E40FCC">
              <w:t>16.2</w:t>
            </w:r>
          </w:p>
        </w:tc>
        <w:tc>
          <w:tcPr>
            <w:tcW w:w="1948" w:type="dxa"/>
            <w:vAlign w:val="center"/>
          </w:tcPr>
          <w:p w14:paraId="7117AE44" w14:textId="0D1D20B8" w:rsidR="004E7A09" w:rsidRPr="00E40FCC" w:rsidRDefault="004E7A09" w:rsidP="00455A72">
            <w:pPr>
              <w:jc w:val="center"/>
            </w:pPr>
            <w:r w:rsidRPr="00E40FCC">
              <w:t xml:space="preserve">5.4 </w:t>
            </w:r>
            <w:r w:rsidRPr="00E40FCC">
              <w:rPr>
                <w:i/>
                <w:iCs/>
              </w:rPr>
              <w:t>(n = 2)</w:t>
            </w:r>
          </w:p>
        </w:tc>
      </w:tr>
      <w:tr w:rsidR="004E7A09" w:rsidRPr="00E40FCC" w14:paraId="75C73280" w14:textId="77777777" w:rsidTr="00C505E1">
        <w:tc>
          <w:tcPr>
            <w:tcW w:w="1947" w:type="dxa"/>
            <w:vAlign w:val="center"/>
          </w:tcPr>
          <w:p w14:paraId="7A120352" w14:textId="397461A6" w:rsidR="004E7A09" w:rsidRPr="00E40FCC" w:rsidRDefault="004E7A09" w:rsidP="00455A72">
            <w:pPr>
              <w:jc w:val="center"/>
            </w:pPr>
            <w:r w:rsidRPr="00E40FCC">
              <w:rPr>
                <w:b/>
                <w:bCs/>
              </w:rPr>
              <w:lastRenderedPageBreak/>
              <w:t>Nalidixic acid</w:t>
            </w:r>
          </w:p>
        </w:tc>
        <w:tc>
          <w:tcPr>
            <w:tcW w:w="1947" w:type="dxa"/>
            <w:vAlign w:val="center"/>
          </w:tcPr>
          <w:p w14:paraId="2016675D" w14:textId="3A2FCC09" w:rsidR="004E7A09" w:rsidRPr="00E40FCC" w:rsidRDefault="004E7A09" w:rsidP="00455A72">
            <w:pPr>
              <w:jc w:val="center"/>
            </w:pPr>
            <w:r w:rsidRPr="00E40FCC">
              <w:t>48.6</w:t>
            </w:r>
          </w:p>
        </w:tc>
        <w:tc>
          <w:tcPr>
            <w:tcW w:w="1947" w:type="dxa"/>
            <w:vAlign w:val="center"/>
          </w:tcPr>
          <w:p w14:paraId="168816F5" w14:textId="08C6DD74" w:rsidR="004E7A09" w:rsidRPr="00E40FCC" w:rsidRDefault="004E7A09" w:rsidP="00455A72">
            <w:pPr>
              <w:jc w:val="center"/>
            </w:pPr>
            <w:r w:rsidRPr="00E40FCC">
              <w:t>—</w:t>
            </w:r>
          </w:p>
        </w:tc>
        <w:tc>
          <w:tcPr>
            <w:tcW w:w="1947" w:type="dxa"/>
            <w:vAlign w:val="center"/>
          </w:tcPr>
          <w:p w14:paraId="7DE56302" w14:textId="0F42B321" w:rsidR="004E7A09" w:rsidRPr="00E40FCC" w:rsidRDefault="004E7A09" w:rsidP="00455A72">
            <w:pPr>
              <w:jc w:val="center"/>
            </w:pPr>
            <w:r w:rsidRPr="00E40FCC">
              <w:t>51.4</w:t>
            </w:r>
          </w:p>
        </w:tc>
        <w:tc>
          <w:tcPr>
            <w:tcW w:w="1948" w:type="dxa"/>
            <w:vAlign w:val="center"/>
          </w:tcPr>
          <w:p w14:paraId="641431CB" w14:textId="1FA54913" w:rsidR="004E7A09" w:rsidRPr="00E40FCC" w:rsidRDefault="004E7A09" w:rsidP="00455A72">
            <w:pPr>
              <w:jc w:val="center"/>
            </w:pPr>
            <w:r w:rsidRPr="00E40FCC">
              <w:t>—</w:t>
            </w:r>
          </w:p>
        </w:tc>
      </w:tr>
      <w:tr w:rsidR="004E7A09" w:rsidRPr="00E40FCC" w14:paraId="6F1FD943" w14:textId="77777777" w:rsidTr="00C505E1">
        <w:tc>
          <w:tcPr>
            <w:tcW w:w="1947" w:type="dxa"/>
            <w:vAlign w:val="center"/>
          </w:tcPr>
          <w:p w14:paraId="75E95F11" w14:textId="40D2DE7E" w:rsidR="004E7A09" w:rsidRPr="00E40FCC" w:rsidRDefault="004E7A09" w:rsidP="00455A72">
            <w:pPr>
              <w:jc w:val="center"/>
            </w:pPr>
            <w:r w:rsidRPr="00E40FCC">
              <w:rPr>
                <w:b/>
                <w:bCs/>
              </w:rPr>
              <w:t>Streptomycin</w:t>
            </w:r>
          </w:p>
        </w:tc>
        <w:tc>
          <w:tcPr>
            <w:tcW w:w="1947" w:type="dxa"/>
            <w:vAlign w:val="center"/>
          </w:tcPr>
          <w:p w14:paraId="14F11813" w14:textId="56B34AE9" w:rsidR="004E7A09" w:rsidRPr="00E40FCC" w:rsidRDefault="004E7A09" w:rsidP="00455A72">
            <w:pPr>
              <w:jc w:val="center"/>
            </w:pPr>
            <w:r w:rsidRPr="00E40FCC">
              <w:rPr>
                <w:i/>
                <w:iCs/>
              </w:rPr>
              <w:t>2.7* (n = 1)</w:t>
            </w:r>
          </w:p>
        </w:tc>
        <w:tc>
          <w:tcPr>
            <w:tcW w:w="1947" w:type="dxa"/>
            <w:vAlign w:val="center"/>
          </w:tcPr>
          <w:p w14:paraId="00353EFD" w14:textId="068D8D47" w:rsidR="004E7A09" w:rsidRPr="00E40FCC" w:rsidRDefault="004E7A09" w:rsidP="00455A72">
            <w:pPr>
              <w:jc w:val="center"/>
            </w:pPr>
            <w:r w:rsidRPr="00E40FCC">
              <w:t>—</w:t>
            </w:r>
          </w:p>
        </w:tc>
        <w:tc>
          <w:tcPr>
            <w:tcW w:w="1947" w:type="dxa"/>
            <w:vAlign w:val="center"/>
          </w:tcPr>
          <w:p w14:paraId="15BE1839" w14:textId="5501291C" w:rsidR="004E7A09" w:rsidRPr="00E40FCC" w:rsidRDefault="004E7A09" w:rsidP="00455A72">
            <w:pPr>
              <w:jc w:val="center"/>
            </w:pPr>
            <w:r w:rsidRPr="00E40FCC">
              <w:t>97.3</w:t>
            </w:r>
          </w:p>
        </w:tc>
        <w:tc>
          <w:tcPr>
            <w:tcW w:w="1948" w:type="dxa"/>
            <w:vAlign w:val="center"/>
          </w:tcPr>
          <w:p w14:paraId="38B411E9" w14:textId="1908BBD0" w:rsidR="004E7A09" w:rsidRPr="00E40FCC" w:rsidRDefault="004E7A09" w:rsidP="00455A72">
            <w:pPr>
              <w:jc w:val="center"/>
            </w:pPr>
            <w:r w:rsidRPr="00E40FCC">
              <w:t>—</w:t>
            </w:r>
          </w:p>
        </w:tc>
      </w:tr>
      <w:tr w:rsidR="004E7A09" w:rsidRPr="00E40FCC" w14:paraId="27B84C28" w14:textId="77777777" w:rsidTr="00C505E1">
        <w:tc>
          <w:tcPr>
            <w:tcW w:w="1947" w:type="dxa"/>
            <w:vAlign w:val="center"/>
          </w:tcPr>
          <w:p w14:paraId="33DEC58B" w14:textId="74AE62A9" w:rsidR="004E7A09" w:rsidRPr="00E40FCC" w:rsidRDefault="004E7A09" w:rsidP="00455A72">
            <w:pPr>
              <w:jc w:val="center"/>
            </w:pPr>
            <w:r w:rsidRPr="00E40FCC">
              <w:rPr>
                <w:b/>
                <w:bCs/>
              </w:rPr>
              <w:t>Tetracycline</w:t>
            </w:r>
          </w:p>
        </w:tc>
        <w:tc>
          <w:tcPr>
            <w:tcW w:w="1947" w:type="dxa"/>
            <w:vAlign w:val="center"/>
          </w:tcPr>
          <w:p w14:paraId="044D360C" w14:textId="374DBE16" w:rsidR="004E7A09" w:rsidRPr="00E40FCC" w:rsidRDefault="004E7A09" w:rsidP="00455A72">
            <w:pPr>
              <w:jc w:val="center"/>
            </w:pPr>
            <w:r w:rsidRPr="00E40FCC">
              <w:t>64.9</w:t>
            </w:r>
          </w:p>
        </w:tc>
        <w:tc>
          <w:tcPr>
            <w:tcW w:w="1947" w:type="dxa"/>
            <w:vAlign w:val="center"/>
          </w:tcPr>
          <w:p w14:paraId="211F27F4" w14:textId="440029FF" w:rsidR="004E7A09" w:rsidRPr="00E40FCC" w:rsidRDefault="004E7A09" w:rsidP="00455A72">
            <w:pPr>
              <w:jc w:val="center"/>
            </w:pPr>
            <w:r w:rsidRPr="00E40FCC">
              <w:t>—</w:t>
            </w:r>
          </w:p>
        </w:tc>
        <w:tc>
          <w:tcPr>
            <w:tcW w:w="1947" w:type="dxa"/>
            <w:vAlign w:val="center"/>
          </w:tcPr>
          <w:p w14:paraId="434C7AF5" w14:textId="29098831" w:rsidR="004E7A09" w:rsidRPr="00E40FCC" w:rsidRDefault="004E7A09" w:rsidP="00455A72">
            <w:pPr>
              <w:jc w:val="center"/>
            </w:pPr>
            <w:r w:rsidRPr="00E40FCC">
              <w:t>35.1</w:t>
            </w:r>
          </w:p>
        </w:tc>
        <w:tc>
          <w:tcPr>
            <w:tcW w:w="1948" w:type="dxa"/>
            <w:vAlign w:val="center"/>
          </w:tcPr>
          <w:p w14:paraId="6815CF22" w14:textId="1E102FA4" w:rsidR="004E7A09" w:rsidRPr="00E40FCC" w:rsidRDefault="004E7A09" w:rsidP="00455A72">
            <w:pPr>
              <w:jc w:val="center"/>
            </w:pPr>
            <w:r w:rsidRPr="00E40FCC">
              <w:t>—</w:t>
            </w:r>
          </w:p>
        </w:tc>
      </w:tr>
    </w:tbl>
    <w:p w14:paraId="20074195" w14:textId="77777777" w:rsidR="00E40FCC" w:rsidRPr="00E40FCC" w:rsidRDefault="00E40FCC" w:rsidP="00163340">
      <w:pPr>
        <w:jc w:val="both"/>
      </w:pPr>
    </w:p>
    <w:p w14:paraId="327FEF3B" w14:textId="279817E6" w:rsidR="00182A82" w:rsidRPr="00E40FCC" w:rsidRDefault="002C433E" w:rsidP="00163340">
      <w:pPr>
        <w:jc w:val="both"/>
      </w:pPr>
      <w:r w:rsidRPr="00E40FCC">
        <w:t xml:space="preserve">When I was awarded a UKRI BBSRC-funded Research Experience Placement by the EASTBIO Doctoral Training Partnership to work on this project under the supervision of Dr. Prerna Vohra, I was very honoured and excited. My main goals going into this project were to broaden my knowledge in the field of bacteriology, improve my research and wet lab skills as well </w:t>
      </w:r>
      <w:r w:rsidR="00650D34">
        <w:t>as</w:t>
      </w:r>
      <w:r w:rsidRPr="00E40FCC">
        <w:t xml:space="preserve"> get a good grasp of what a career in research would entail. At the end of my project, not only had I met all of my personal goals but I was also pleasantly surprised by how far along I had come in my research. I was even introduced to bioinformatics: I designed primers, performed gene alignments to look for variation and had the opportunity to hunt for the sequences of the </w:t>
      </w:r>
      <w:r w:rsidRPr="008E72E4">
        <w:rPr>
          <w:i/>
          <w:iCs/>
        </w:rPr>
        <w:t>spvABC</w:t>
      </w:r>
      <w:r w:rsidRPr="00E40FCC">
        <w:t xml:space="preserve"> genes in the genomes of the Dublin isolates using Artemis. This was not something I thought I would get to try during my project and although there was not enough time to do more work than that, I am glad to have been introduced to this field as well. While I am sad that my time working in the Vohra lab has come to an end, I look forward to continuing with my studies and even pursuing a PhD degree after completing my undergraduate one.</w:t>
      </w:r>
    </w:p>
    <w:p w14:paraId="742E5E71" w14:textId="77777777" w:rsidR="00182A82" w:rsidRDefault="00182A82" w:rsidP="00163340">
      <w:pPr>
        <w:jc w:val="both"/>
        <w:rPr>
          <w:u w:val="single"/>
        </w:rPr>
      </w:pPr>
    </w:p>
    <w:p w14:paraId="2338C4DA" w14:textId="01494D7D" w:rsidR="00455848" w:rsidRPr="00F332DC" w:rsidRDefault="00455848" w:rsidP="00163340">
      <w:pPr>
        <w:jc w:val="both"/>
        <w:rPr>
          <w:u w:val="single"/>
        </w:rPr>
      </w:pPr>
      <w:r w:rsidRPr="00F332DC">
        <w:rPr>
          <w:u w:val="single"/>
        </w:rPr>
        <w:t>References</w:t>
      </w:r>
    </w:p>
    <w:p w14:paraId="22A5F8B0" w14:textId="3F8D56F9" w:rsidR="00CB669C" w:rsidRDefault="00CB669C" w:rsidP="00683E83">
      <w:pPr>
        <w:jc w:val="both"/>
        <w:rPr>
          <w:lang w:val="en-US"/>
        </w:rPr>
      </w:pPr>
      <w:r w:rsidRPr="00CB669C">
        <w:rPr>
          <w:lang w:val="en-US"/>
        </w:rPr>
        <w:t xml:space="preserve">CLSI. </w:t>
      </w:r>
      <w:r w:rsidRPr="00CB669C">
        <w:rPr>
          <w:i/>
          <w:iCs/>
          <w:lang w:val="en-US"/>
        </w:rPr>
        <w:t xml:space="preserve">Performance Standards for Antimicrobial Susceptibility Testing. </w:t>
      </w:r>
      <w:r w:rsidRPr="00CB669C">
        <w:rPr>
          <w:lang w:val="en-US"/>
        </w:rPr>
        <w:t>30</w:t>
      </w:r>
      <w:r w:rsidRPr="00CB669C">
        <w:rPr>
          <w:vertAlign w:val="superscript"/>
          <w:lang w:val="en-US"/>
        </w:rPr>
        <w:t>th</w:t>
      </w:r>
      <w:r w:rsidRPr="00CB669C">
        <w:rPr>
          <w:lang w:val="en-US"/>
        </w:rPr>
        <w:t xml:space="preserve"> ed. CLSI supplement M100. Wayne, PA: Clinical and Laboratory Standards Institute; 2020.</w:t>
      </w:r>
    </w:p>
    <w:p w14:paraId="45CCDB35" w14:textId="398DB843" w:rsidR="009E7D79" w:rsidRPr="00082012" w:rsidRDefault="009E7D79" w:rsidP="00683E83">
      <w:pPr>
        <w:jc w:val="both"/>
      </w:pPr>
      <w:r>
        <w:rPr>
          <w:lang w:val="en-US"/>
        </w:rPr>
        <w:t>Dela</w:t>
      </w:r>
      <w:r w:rsidR="00B972F3">
        <w:rPr>
          <w:lang w:val="en-US"/>
        </w:rPr>
        <w:t xml:space="preserve">ney, S., Murphy, R., and Walsh, F. (2018) ‘A Comparison of Methods for the Extraction of Plasmids Capable of Conferring Antibiotic Resistance in a Human Pathogen From Complex Broiler Cecal Samples’, </w:t>
      </w:r>
      <w:r w:rsidR="00082012">
        <w:rPr>
          <w:i/>
          <w:iCs/>
          <w:lang w:val="en-US"/>
        </w:rPr>
        <w:t xml:space="preserve">Frontiers in Microbiology, </w:t>
      </w:r>
      <w:r w:rsidR="00082012">
        <w:rPr>
          <w:lang w:val="en-US"/>
        </w:rPr>
        <w:t xml:space="preserve">9. </w:t>
      </w:r>
      <w:r w:rsidR="0085053A">
        <w:rPr>
          <w:lang w:val="en-US"/>
        </w:rPr>
        <w:t>d</w:t>
      </w:r>
      <w:r w:rsidR="00082012">
        <w:rPr>
          <w:lang w:val="en-US"/>
        </w:rPr>
        <w:t xml:space="preserve">oi: </w:t>
      </w:r>
      <w:hyperlink r:id="rId6" w:history="1">
        <w:r w:rsidR="0085053A" w:rsidRPr="00D1075E">
          <w:rPr>
            <w:rStyle w:val="Hyperlink"/>
            <w:lang w:val="en-US"/>
          </w:rPr>
          <w:t>https://doi.org/10.3389/fmicb.2018.01731</w:t>
        </w:r>
      </w:hyperlink>
      <w:r w:rsidR="0085053A">
        <w:rPr>
          <w:lang w:val="en-US"/>
        </w:rPr>
        <w:t xml:space="preserve"> </w:t>
      </w:r>
    </w:p>
    <w:p w14:paraId="36BD357B" w14:textId="339628BF" w:rsidR="00FD7195" w:rsidRPr="00F332DC" w:rsidRDefault="00FD7195" w:rsidP="00683E83">
      <w:pPr>
        <w:jc w:val="both"/>
      </w:pPr>
      <w:r w:rsidRPr="00F332DC">
        <w:t xml:space="preserve">dos Santos, A. M. P., Ferrari, R. G., and Conte-Junior, C. A. (2019) ‘Virulence Factors in </w:t>
      </w:r>
      <w:r w:rsidRPr="00F332DC">
        <w:rPr>
          <w:i/>
          <w:iCs/>
        </w:rPr>
        <w:t>Salmonella</w:t>
      </w:r>
      <w:r w:rsidRPr="00F332DC">
        <w:t xml:space="preserve"> Typhimurium: The Sagacity of a Bacterium’, </w:t>
      </w:r>
      <w:r w:rsidRPr="00F332DC">
        <w:rPr>
          <w:i/>
          <w:iCs/>
        </w:rPr>
        <w:t xml:space="preserve">Current Microbiology, </w:t>
      </w:r>
      <w:r w:rsidR="008C4BA9" w:rsidRPr="00F332DC">
        <w:t xml:space="preserve">76, pp. 762-773. doi: </w:t>
      </w:r>
      <w:hyperlink r:id="rId7" w:history="1">
        <w:r w:rsidR="008C4BA9" w:rsidRPr="00F332DC">
          <w:rPr>
            <w:rStyle w:val="Hyperlink"/>
          </w:rPr>
          <w:t>https://doi.org/10.1007/s00284-018-1510-4</w:t>
        </w:r>
      </w:hyperlink>
      <w:r w:rsidR="008C4BA9" w:rsidRPr="00F332DC">
        <w:t xml:space="preserve"> </w:t>
      </w:r>
    </w:p>
    <w:p w14:paraId="4E7812F2" w14:textId="3B188543" w:rsidR="009968C3" w:rsidRPr="00F332DC" w:rsidRDefault="009F6DAF" w:rsidP="00683E83">
      <w:pPr>
        <w:jc w:val="both"/>
      </w:pPr>
      <w:r w:rsidRPr="00F332DC">
        <w:t xml:space="preserve">GBD 2017 Non-Typhoidal </w:t>
      </w:r>
      <w:r w:rsidRPr="00EA19D8">
        <w:rPr>
          <w:i/>
          <w:iCs/>
        </w:rPr>
        <w:t>Salmonella</w:t>
      </w:r>
      <w:r w:rsidRPr="00F332DC">
        <w:t xml:space="preserve"> Invasive Disease Collaborators (2019) ‘The global burden of non-typhoidal </w:t>
      </w:r>
      <w:r w:rsidRPr="00EA19D8">
        <w:t>salmonella</w:t>
      </w:r>
      <w:r w:rsidRPr="00F332DC">
        <w:t xml:space="preserve"> invasive disease: a systematic analysis for the Global Burden of Disease Study 2017’</w:t>
      </w:r>
      <w:r w:rsidR="00C068D1" w:rsidRPr="00F332DC">
        <w:t xml:space="preserve">, </w:t>
      </w:r>
      <w:r w:rsidR="00C068D1" w:rsidRPr="00F332DC">
        <w:rPr>
          <w:i/>
          <w:iCs/>
        </w:rPr>
        <w:t xml:space="preserve">The Lancet Infectious Diseases, </w:t>
      </w:r>
      <w:r w:rsidR="00C068D1" w:rsidRPr="00F332DC">
        <w:t xml:space="preserve">19(12), pp. 1312-1324. </w:t>
      </w:r>
      <w:r w:rsidR="000D749F" w:rsidRPr="00F332DC">
        <w:t>d</w:t>
      </w:r>
      <w:r w:rsidR="00C068D1" w:rsidRPr="00F332DC">
        <w:t xml:space="preserve">oi: </w:t>
      </w:r>
      <w:hyperlink r:id="rId8" w:history="1">
        <w:r w:rsidR="000D749F" w:rsidRPr="00F332DC">
          <w:rPr>
            <w:rStyle w:val="Hyperlink"/>
          </w:rPr>
          <w:t>https://doi.org/10.1016/S1473-3099(19)30418-9</w:t>
        </w:r>
      </w:hyperlink>
      <w:r w:rsidR="000D749F" w:rsidRPr="00F332DC">
        <w:t xml:space="preserve"> </w:t>
      </w:r>
    </w:p>
    <w:p w14:paraId="3BF76164" w14:textId="64D20E4E" w:rsidR="00A93FAC" w:rsidRPr="00F332DC" w:rsidRDefault="00A93FAC" w:rsidP="00683E83">
      <w:pPr>
        <w:jc w:val="both"/>
      </w:pPr>
      <w:r w:rsidRPr="00F332DC">
        <w:t xml:space="preserve">Guiney, D. G. and Fierer, J. (2011) ‘The role of the </w:t>
      </w:r>
      <w:r w:rsidRPr="00F332DC">
        <w:rPr>
          <w:i/>
          <w:iCs/>
        </w:rPr>
        <w:t xml:space="preserve">spv </w:t>
      </w:r>
      <w:r w:rsidRPr="00F332DC">
        <w:t xml:space="preserve">genes in </w:t>
      </w:r>
      <w:r w:rsidRPr="00F332DC">
        <w:rPr>
          <w:i/>
          <w:iCs/>
        </w:rPr>
        <w:t xml:space="preserve">Salmonella </w:t>
      </w:r>
      <w:r w:rsidRPr="00F332DC">
        <w:t xml:space="preserve">pathogenesis’, </w:t>
      </w:r>
      <w:r w:rsidR="001B6EB6" w:rsidRPr="00F332DC">
        <w:rPr>
          <w:i/>
          <w:iCs/>
        </w:rPr>
        <w:t xml:space="preserve">Frontiers in Microbiology, </w:t>
      </w:r>
      <w:r w:rsidR="001B6EB6" w:rsidRPr="00F332DC">
        <w:t xml:space="preserve">2. </w:t>
      </w:r>
      <w:r w:rsidR="00941168" w:rsidRPr="00F332DC">
        <w:t>d</w:t>
      </w:r>
      <w:r w:rsidR="001B6EB6" w:rsidRPr="00F332DC">
        <w:t xml:space="preserve">oi: </w:t>
      </w:r>
      <w:hyperlink r:id="rId9" w:history="1">
        <w:r w:rsidR="00941168" w:rsidRPr="00F332DC">
          <w:rPr>
            <w:rStyle w:val="Hyperlink"/>
          </w:rPr>
          <w:t>https://doi.org/10.3389/fmicb.2011.00129</w:t>
        </w:r>
      </w:hyperlink>
      <w:r w:rsidR="00941168" w:rsidRPr="00F332DC">
        <w:t xml:space="preserve"> </w:t>
      </w:r>
    </w:p>
    <w:p w14:paraId="48ADF9A5" w14:textId="5E5B359F" w:rsidR="00DC45CF" w:rsidRPr="00F332DC" w:rsidRDefault="00DC45CF" w:rsidP="00683E83">
      <w:pPr>
        <w:jc w:val="both"/>
      </w:pPr>
      <w:proofErr w:type="spellStart"/>
      <w:r w:rsidRPr="00F332DC">
        <w:t>Magiorakos</w:t>
      </w:r>
      <w:proofErr w:type="spellEnd"/>
      <w:r w:rsidRPr="00F332DC">
        <w:t xml:space="preserve">, </w:t>
      </w:r>
      <w:r w:rsidR="00732419" w:rsidRPr="00F332DC">
        <w:t xml:space="preserve">A. P., Srinivasan, A., Carey, R. B. </w:t>
      </w:r>
      <w:r w:rsidR="00732419" w:rsidRPr="00F332DC">
        <w:rPr>
          <w:i/>
          <w:iCs/>
        </w:rPr>
        <w:t xml:space="preserve">et al. </w:t>
      </w:r>
      <w:r w:rsidR="00732419" w:rsidRPr="00F332DC">
        <w:t xml:space="preserve">(2012) ‘Multidrug-resistant, extensively drug-resistant and </w:t>
      </w:r>
      <w:proofErr w:type="spellStart"/>
      <w:r w:rsidR="00732419" w:rsidRPr="00F332DC">
        <w:t>pandrug</w:t>
      </w:r>
      <w:proofErr w:type="spellEnd"/>
      <w:r w:rsidR="00732419" w:rsidRPr="00F332DC">
        <w:t>-resistant bacteria:</w:t>
      </w:r>
      <w:r w:rsidR="00F80130" w:rsidRPr="00F332DC">
        <w:t xml:space="preserve"> an international expert proposal for interim standard definitions for acquired resistance’, </w:t>
      </w:r>
      <w:r w:rsidR="00F80130" w:rsidRPr="00F332DC">
        <w:rPr>
          <w:i/>
          <w:iCs/>
        </w:rPr>
        <w:t xml:space="preserve">Clinical Microbiology and Infection, </w:t>
      </w:r>
      <w:r w:rsidR="00F80130" w:rsidRPr="00F332DC">
        <w:t xml:space="preserve">18(3), pp. 268-281. </w:t>
      </w:r>
      <w:r w:rsidR="007E0052" w:rsidRPr="00F332DC">
        <w:t>d</w:t>
      </w:r>
      <w:r w:rsidR="00F80130" w:rsidRPr="00F332DC">
        <w:t xml:space="preserve">oi: </w:t>
      </w:r>
      <w:hyperlink r:id="rId10" w:history="1">
        <w:r w:rsidR="007E0052" w:rsidRPr="00F332DC">
          <w:rPr>
            <w:rStyle w:val="Hyperlink"/>
          </w:rPr>
          <w:t>https://doi.org/10.1111/j.1469-0691.2011.03570.x</w:t>
        </w:r>
      </w:hyperlink>
      <w:r w:rsidR="007E0052" w:rsidRPr="00F332DC">
        <w:t xml:space="preserve"> </w:t>
      </w:r>
    </w:p>
    <w:p w14:paraId="760125AB" w14:textId="360FE9A9" w:rsidR="008C07EF" w:rsidRDefault="00886CEB" w:rsidP="00683E83">
      <w:pPr>
        <w:jc w:val="both"/>
      </w:pPr>
      <w:r w:rsidRPr="00F332DC">
        <w:t xml:space="preserve">NARMS (2019) </w:t>
      </w:r>
      <w:r w:rsidR="001B1D9E" w:rsidRPr="00F332DC">
        <w:rPr>
          <w:i/>
          <w:iCs/>
        </w:rPr>
        <w:t>Antibiotics Tested by NARMS</w:t>
      </w:r>
      <w:r w:rsidR="00B43AEE" w:rsidRPr="00F332DC">
        <w:rPr>
          <w:i/>
          <w:iCs/>
        </w:rPr>
        <w:t xml:space="preserve"> </w:t>
      </w:r>
      <w:r w:rsidR="00B43AEE" w:rsidRPr="00F332DC">
        <w:t xml:space="preserve">[online]. Available at: </w:t>
      </w:r>
      <w:hyperlink r:id="rId11" w:history="1">
        <w:r w:rsidR="00BB33CA" w:rsidRPr="00F332DC">
          <w:rPr>
            <w:rStyle w:val="Hyperlink"/>
          </w:rPr>
          <w:t>https://www.cdc.gov/narms/antibiotics-tested.html</w:t>
        </w:r>
      </w:hyperlink>
      <w:r w:rsidR="00BB33CA" w:rsidRPr="00F332DC">
        <w:t xml:space="preserve"> [Accessed: 23/08/2023].</w:t>
      </w:r>
    </w:p>
    <w:p w14:paraId="5A02AD5C" w14:textId="5255A42A" w:rsidR="00FD373A" w:rsidRPr="009914FD" w:rsidRDefault="00FD373A" w:rsidP="00076A7A">
      <w:pPr>
        <w:jc w:val="both"/>
      </w:pPr>
      <w:r>
        <w:t xml:space="preserve">QIAGEN (2020) </w:t>
      </w:r>
      <w:proofErr w:type="spellStart"/>
      <w:r>
        <w:rPr>
          <w:i/>
          <w:iCs/>
        </w:rPr>
        <w:t>QIAprep</w:t>
      </w:r>
      <w:proofErr w:type="spellEnd"/>
      <w:r>
        <w:rPr>
          <w:i/>
          <w:iCs/>
        </w:rPr>
        <w:t>® Miniprep Handbook</w:t>
      </w:r>
      <w:r w:rsidR="009914FD">
        <w:t xml:space="preserve">. Available at: </w:t>
      </w:r>
      <w:hyperlink r:id="rId12" w:history="1">
        <w:r w:rsidR="00285048" w:rsidRPr="00D1075E">
          <w:rPr>
            <w:rStyle w:val="Hyperlink"/>
          </w:rPr>
          <w:t>https://www.qiagen.com/us/resources/download.aspx?id=22df6325-9579-4aa0-819c-788f73d81a09&amp;lang=en</w:t>
        </w:r>
      </w:hyperlink>
      <w:r w:rsidR="00285048">
        <w:t xml:space="preserve"> [Accessed: </w:t>
      </w:r>
      <w:r w:rsidR="00173ABE">
        <w:t>26/07/2023].</w:t>
      </w:r>
    </w:p>
    <w:sectPr w:rsidR="00FD373A" w:rsidRPr="009914FD" w:rsidSect="00781F8B">
      <w:pgSz w:w="11906" w:h="16838"/>
      <w:pgMar w:top="851"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6309A"/>
    <w:multiLevelType w:val="hybridMultilevel"/>
    <w:tmpl w:val="8BF2338A"/>
    <w:lvl w:ilvl="0" w:tplc="7B3AF11E">
      <w:start w:val="33"/>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407BB7"/>
    <w:multiLevelType w:val="hybridMultilevel"/>
    <w:tmpl w:val="2DB258E8"/>
    <w:lvl w:ilvl="0" w:tplc="E806B884">
      <w:start w:val="3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2547113">
    <w:abstractNumId w:val="0"/>
  </w:num>
  <w:num w:numId="2" w16cid:durableId="423034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62"/>
    <w:rsid w:val="00005F3B"/>
    <w:rsid w:val="00010C0D"/>
    <w:rsid w:val="000118F2"/>
    <w:rsid w:val="00014A4B"/>
    <w:rsid w:val="000162A7"/>
    <w:rsid w:val="00017DFE"/>
    <w:rsid w:val="00020149"/>
    <w:rsid w:val="00020836"/>
    <w:rsid w:val="000261C8"/>
    <w:rsid w:val="0004212A"/>
    <w:rsid w:val="0004293F"/>
    <w:rsid w:val="00043422"/>
    <w:rsid w:val="0004347A"/>
    <w:rsid w:val="000670DA"/>
    <w:rsid w:val="00076A7A"/>
    <w:rsid w:val="00082012"/>
    <w:rsid w:val="00083A06"/>
    <w:rsid w:val="0008660F"/>
    <w:rsid w:val="0009423D"/>
    <w:rsid w:val="00096545"/>
    <w:rsid w:val="00097D28"/>
    <w:rsid w:val="000A27AC"/>
    <w:rsid w:val="000A3817"/>
    <w:rsid w:val="000B21FD"/>
    <w:rsid w:val="000B2B9D"/>
    <w:rsid w:val="000C3F5D"/>
    <w:rsid w:val="000D0430"/>
    <w:rsid w:val="000D089A"/>
    <w:rsid w:val="000D206D"/>
    <w:rsid w:val="000D34F6"/>
    <w:rsid w:val="000D626F"/>
    <w:rsid w:val="000D749F"/>
    <w:rsid w:val="000E401A"/>
    <w:rsid w:val="000F307E"/>
    <w:rsid w:val="000F76C2"/>
    <w:rsid w:val="001010AD"/>
    <w:rsid w:val="00101F3F"/>
    <w:rsid w:val="001020C4"/>
    <w:rsid w:val="001078EF"/>
    <w:rsid w:val="00111137"/>
    <w:rsid w:val="001125E2"/>
    <w:rsid w:val="00124542"/>
    <w:rsid w:val="0013275A"/>
    <w:rsid w:val="00136237"/>
    <w:rsid w:val="0014038D"/>
    <w:rsid w:val="0014127E"/>
    <w:rsid w:val="00145378"/>
    <w:rsid w:val="00155CE6"/>
    <w:rsid w:val="00163340"/>
    <w:rsid w:val="00164044"/>
    <w:rsid w:val="00165D79"/>
    <w:rsid w:val="00172357"/>
    <w:rsid w:val="00172537"/>
    <w:rsid w:val="00173ABE"/>
    <w:rsid w:val="00181401"/>
    <w:rsid w:val="00182A82"/>
    <w:rsid w:val="00185C7F"/>
    <w:rsid w:val="0019389F"/>
    <w:rsid w:val="001979E7"/>
    <w:rsid w:val="00197D64"/>
    <w:rsid w:val="001A35FA"/>
    <w:rsid w:val="001B1D9E"/>
    <w:rsid w:val="001B248A"/>
    <w:rsid w:val="001B36E7"/>
    <w:rsid w:val="001B6EB6"/>
    <w:rsid w:val="001C01EE"/>
    <w:rsid w:val="001C11EF"/>
    <w:rsid w:val="001C27BE"/>
    <w:rsid w:val="001C4C8A"/>
    <w:rsid w:val="001C656F"/>
    <w:rsid w:val="001E2A21"/>
    <w:rsid w:val="001E7542"/>
    <w:rsid w:val="001F007E"/>
    <w:rsid w:val="001F5895"/>
    <w:rsid w:val="0020162C"/>
    <w:rsid w:val="00204399"/>
    <w:rsid w:val="0021106B"/>
    <w:rsid w:val="00212B4D"/>
    <w:rsid w:val="00214F63"/>
    <w:rsid w:val="00220EA1"/>
    <w:rsid w:val="00222CCF"/>
    <w:rsid w:val="0025244E"/>
    <w:rsid w:val="00255A9B"/>
    <w:rsid w:val="00255FED"/>
    <w:rsid w:val="002568CD"/>
    <w:rsid w:val="00267033"/>
    <w:rsid w:val="002728DC"/>
    <w:rsid w:val="002752A0"/>
    <w:rsid w:val="00285048"/>
    <w:rsid w:val="00286C71"/>
    <w:rsid w:val="00295143"/>
    <w:rsid w:val="002971E1"/>
    <w:rsid w:val="002A014E"/>
    <w:rsid w:val="002A7957"/>
    <w:rsid w:val="002B0BDA"/>
    <w:rsid w:val="002B501C"/>
    <w:rsid w:val="002C433E"/>
    <w:rsid w:val="002C5B8A"/>
    <w:rsid w:val="002D08C8"/>
    <w:rsid w:val="002D228A"/>
    <w:rsid w:val="002D3DA4"/>
    <w:rsid w:val="002D4D6E"/>
    <w:rsid w:val="002D52F5"/>
    <w:rsid w:val="002D6B87"/>
    <w:rsid w:val="002D75EA"/>
    <w:rsid w:val="002E2647"/>
    <w:rsid w:val="002E5BD1"/>
    <w:rsid w:val="002E5EA6"/>
    <w:rsid w:val="002F2778"/>
    <w:rsid w:val="0030123E"/>
    <w:rsid w:val="00303118"/>
    <w:rsid w:val="00305676"/>
    <w:rsid w:val="003056C1"/>
    <w:rsid w:val="00311534"/>
    <w:rsid w:val="00311784"/>
    <w:rsid w:val="00313876"/>
    <w:rsid w:val="00315343"/>
    <w:rsid w:val="00316A4C"/>
    <w:rsid w:val="00320026"/>
    <w:rsid w:val="00320FAF"/>
    <w:rsid w:val="00327326"/>
    <w:rsid w:val="003276E4"/>
    <w:rsid w:val="0033156A"/>
    <w:rsid w:val="003315A5"/>
    <w:rsid w:val="0033418C"/>
    <w:rsid w:val="0033536A"/>
    <w:rsid w:val="00342518"/>
    <w:rsid w:val="00345DE5"/>
    <w:rsid w:val="00365074"/>
    <w:rsid w:val="003754E9"/>
    <w:rsid w:val="00375D46"/>
    <w:rsid w:val="003826B9"/>
    <w:rsid w:val="00383919"/>
    <w:rsid w:val="003842CC"/>
    <w:rsid w:val="003866B8"/>
    <w:rsid w:val="00392C94"/>
    <w:rsid w:val="0039404C"/>
    <w:rsid w:val="003B146B"/>
    <w:rsid w:val="003B2801"/>
    <w:rsid w:val="003B2A3B"/>
    <w:rsid w:val="003B6562"/>
    <w:rsid w:val="003B7B2F"/>
    <w:rsid w:val="003C45D6"/>
    <w:rsid w:val="003C4A2D"/>
    <w:rsid w:val="003C70C4"/>
    <w:rsid w:val="003D0155"/>
    <w:rsid w:val="003D165A"/>
    <w:rsid w:val="003D1C26"/>
    <w:rsid w:val="003D2EDD"/>
    <w:rsid w:val="003E10FC"/>
    <w:rsid w:val="003E3A8C"/>
    <w:rsid w:val="003E4BF3"/>
    <w:rsid w:val="003F18A8"/>
    <w:rsid w:val="003F2A58"/>
    <w:rsid w:val="003F421C"/>
    <w:rsid w:val="003F46B2"/>
    <w:rsid w:val="003F6F00"/>
    <w:rsid w:val="0040055B"/>
    <w:rsid w:val="0040359F"/>
    <w:rsid w:val="00403C25"/>
    <w:rsid w:val="00415E67"/>
    <w:rsid w:val="00421F89"/>
    <w:rsid w:val="00423925"/>
    <w:rsid w:val="00424ECF"/>
    <w:rsid w:val="00424F6A"/>
    <w:rsid w:val="00432CE9"/>
    <w:rsid w:val="00434536"/>
    <w:rsid w:val="00435E40"/>
    <w:rsid w:val="0045019C"/>
    <w:rsid w:val="004552D6"/>
    <w:rsid w:val="00455848"/>
    <w:rsid w:val="00455A72"/>
    <w:rsid w:val="00455B86"/>
    <w:rsid w:val="00460F56"/>
    <w:rsid w:val="00461DB7"/>
    <w:rsid w:val="00473980"/>
    <w:rsid w:val="00474CDA"/>
    <w:rsid w:val="00475882"/>
    <w:rsid w:val="00483D68"/>
    <w:rsid w:val="00485A37"/>
    <w:rsid w:val="004901A6"/>
    <w:rsid w:val="004933F4"/>
    <w:rsid w:val="00493A7F"/>
    <w:rsid w:val="00494F2E"/>
    <w:rsid w:val="004959AA"/>
    <w:rsid w:val="004A3041"/>
    <w:rsid w:val="004B1509"/>
    <w:rsid w:val="004C3179"/>
    <w:rsid w:val="004C5B7E"/>
    <w:rsid w:val="004C5F75"/>
    <w:rsid w:val="004D5E0D"/>
    <w:rsid w:val="004D6079"/>
    <w:rsid w:val="004E4B2B"/>
    <w:rsid w:val="004E7A09"/>
    <w:rsid w:val="004F4F28"/>
    <w:rsid w:val="004F73B5"/>
    <w:rsid w:val="004F7B08"/>
    <w:rsid w:val="00504A28"/>
    <w:rsid w:val="00504E47"/>
    <w:rsid w:val="00506F5A"/>
    <w:rsid w:val="00520524"/>
    <w:rsid w:val="005244CF"/>
    <w:rsid w:val="005309DB"/>
    <w:rsid w:val="0053111D"/>
    <w:rsid w:val="00543B91"/>
    <w:rsid w:val="005466E5"/>
    <w:rsid w:val="00572421"/>
    <w:rsid w:val="005742FC"/>
    <w:rsid w:val="00576DC9"/>
    <w:rsid w:val="00580569"/>
    <w:rsid w:val="00583BB5"/>
    <w:rsid w:val="005843AF"/>
    <w:rsid w:val="00591759"/>
    <w:rsid w:val="005A7604"/>
    <w:rsid w:val="005A796C"/>
    <w:rsid w:val="005B1A95"/>
    <w:rsid w:val="005C1F8E"/>
    <w:rsid w:val="005C3BF5"/>
    <w:rsid w:val="005C3CDB"/>
    <w:rsid w:val="005D22A3"/>
    <w:rsid w:val="005D6942"/>
    <w:rsid w:val="005F1A5A"/>
    <w:rsid w:val="005F4139"/>
    <w:rsid w:val="005F5900"/>
    <w:rsid w:val="005F75D2"/>
    <w:rsid w:val="00600C96"/>
    <w:rsid w:val="00603621"/>
    <w:rsid w:val="00606B7C"/>
    <w:rsid w:val="00607837"/>
    <w:rsid w:val="0061021D"/>
    <w:rsid w:val="00612511"/>
    <w:rsid w:val="006125DC"/>
    <w:rsid w:val="00613DE3"/>
    <w:rsid w:val="00616125"/>
    <w:rsid w:val="0063012B"/>
    <w:rsid w:val="0063139B"/>
    <w:rsid w:val="0063157F"/>
    <w:rsid w:val="00633425"/>
    <w:rsid w:val="00637C3F"/>
    <w:rsid w:val="00650D34"/>
    <w:rsid w:val="00653547"/>
    <w:rsid w:val="00657E73"/>
    <w:rsid w:val="006635E2"/>
    <w:rsid w:val="0066437B"/>
    <w:rsid w:val="00673D2F"/>
    <w:rsid w:val="006768ED"/>
    <w:rsid w:val="00676A2D"/>
    <w:rsid w:val="006829DB"/>
    <w:rsid w:val="006831D9"/>
    <w:rsid w:val="00683E83"/>
    <w:rsid w:val="00685544"/>
    <w:rsid w:val="00685984"/>
    <w:rsid w:val="00690124"/>
    <w:rsid w:val="0069364E"/>
    <w:rsid w:val="006A08DA"/>
    <w:rsid w:val="006A1444"/>
    <w:rsid w:val="006A160B"/>
    <w:rsid w:val="006C10C3"/>
    <w:rsid w:val="006C50D2"/>
    <w:rsid w:val="006D4B75"/>
    <w:rsid w:val="006E3662"/>
    <w:rsid w:val="006E42DE"/>
    <w:rsid w:val="006F2C2E"/>
    <w:rsid w:val="006F35D6"/>
    <w:rsid w:val="006F7151"/>
    <w:rsid w:val="006F73B4"/>
    <w:rsid w:val="007012D6"/>
    <w:rsid w:val="007021FD"/>
    <w:rsid w:val="007024F2"/>
    <w:rsid w:val="007111E2"/>
    <w:rsid w:val="007129C5"/>
    <w:rsid w:val="00720C29"/>
    <w:rsid w:val="00731287"/>
    <w:rsid w:val="007322EF"/>
    <w:rsid w:val="00732419"/>
    <w:rsid w:val="00746345"/>
    <w:rsid w:val="00750058"/>
    <w:rsid w:val="00751712"/>
    <w:rsid w:val="0075659F"/>
    <w:rsid w:val="00760BE9"/>
    <w:rsid w:val="00772F33"/>
    <w:rsid w:val="007816D2"/>
    <w:rsid w:val="00781F8B"/>
    <w:rsid w:val="00783742"/>
    <w:rsid w:val="007852F9"/>
    <w:rsid w:val="007861F7"/>
    <w:rsid w:val="0078694B"/>
    <w:rsid w:val="00787239"/>
    <w:rsid w:val="00792598"/>
    <w:rsid w:val="00794AF2"/>
    <w:rsid w:val="00796959"/>
    <w:rsid w:val="00797CCC"/>
    <w:rsid w:val="007A0112"/>
    <w:rsid w:val="007B001D"/>
    <w:rsid w:val="007B5AC0"/>
    <w:rsid w:val="007C1628"/>
    <w:rsid w:val="007C2B4E"/>
    <w:rsid w:val="007C677F"/>
    <w:rsid w:val="007D0BD1"/>
    <w:rsid w:val="007D0F94"/>
    <w:rsid w:val="007E0052"/>
    <w:rsid w:val="007E0F64"/>
    <w:rsid w:val="007E42D4"/>
    <w:rsid w:val="007E6540"/>
    <w:rsid w:val="007E6CDF"/>
    <w:rsid w:val="00803188"/>
    <w:rsid w:val="00804EE1"/>
    <w:rsid w:val="008215D4"/>
    <w:rsid w:val="008246CF"/>
    <w:rsid w:val="00824F0B"/>
    <w:rsid w:val="00827CF0"/>
    <w:rsid w:val="00831EE6"/>
    <w:rsid w:val="00833852"/>
    <w:rsid w:val="008341DE"/>
    <w:rsid w:val="00834785"/>
    <w:rsid w:val="00834861"/>
    <w:rsid w:val="008365AC"/>
    <w:rsid w:val="00841A25"/>
    <w:rsid w:val="0084699D"/>
    <w:rsid w:val="00846F87"/>
    <w:rsid w:val="0085053A"/>
    <w:rsid w:val="0085122E"/>
    <w:rsid w:val="008515C0"/>
    <w:rsid w:val="00852DC2"/>
    <w:rsid w:val="0085374B"/>
    <w:rsid w:val="0085464E"/>
    <w:rsid w:val="008559CF"/>
    <w:rsid w:val="00857186"/>
    <w:rsid w:val="0086033C"/>
    <w:rsid w:val="0086543B"/>
    <w:rsid w:val="00865C91"/>
    <w:rsid w:val="00870D38"/>
    <w:rsid w:val="00873040"/>
    <w:rsid w:val="00880699"/>
    <w:rsid w:val="0088452D"/>
    <w:rsid w:val="00885421"/>
    <w:rsid w:val="00885FC2"/>
    <w:rsid w:val="00886CEB"/>
    <w:rsid w:val="00887DA2"/>
    <w:rsid w:val="00890AB3"/>
    <w:rsid w:val="0089148F"/>
    <w:rsid w:val="00892AE9"/>
    <w:rsid w:val="008B0B16"/>
    <w:rsid w:val="008B2F37"/>
    <w:rsid w:val="008B5076"/>
    <w:rsid w:val="008B5CE1"/>
    <w:rsid w:val="008C07EF"/>
    <w:rsid w:val="008C4BA9"/>
    <w:rsid w:val="008D007B"/>
    <w:rsid w:val="008E22C4"/>
    <w:rsid w:val="008E309B"/>
    <w:rsid w:val="008E3724"/>
    <w:rsid w:val="008E4AEA"/>
    <w:rsid w:val="008E72E4"/>
    <w:rsid w:val="008F46D1"/>
    <w:rsid w:val="008F47F4"/>
    <w:rsid w:val="008F54A3"/>
    <w:rsid w:val="00901468"/>
    <w:rsid w:val="009119E0"/>
    <w:rsid w:val="00912B3A"/>
    <w:rsid w:val="00912E9A"/>
    <w:rsid w:val="00926EAF"/>
    <w:rsid w:val="009301C9"/>
    <w:rsid w:val="00933A99"/>
    <w:rsid w:val="0093701A"/>
    <w:rsid w:val="00941168"/>
    <w:rsid w:val="009467B2"/>
    <w:rsid w:val="0095299D"/>
    <w:rsid w:val="00956D04"/>
    <w:rsid w:val="00957AC6"/>
    <w:rsid w:val="00965043"/>
    <w:rsid w:val="0097153E"/>
    <w:rsid w:val="009723C1"/>
    <w:rsid w:val="009745F2"/>
    <w:rsid w:val="00975BC4"/>
    <w:rsid w:val="00976ECB"/>
    <w:rsid w:val="00986ACC"/>
    <w:rsid w:val="0099023E"/>
    <w:rsid w:val="009914FD"/>
    <w:rsid w:val="00993F42"/>
    <w:rsid w:val="009968C3"/>
    <w:rsid w:val="00996A3B"/>
    <w:rsid w:val="009A3B85"/>
    <w:rsid w:val="009A5709"/>
    <w:rsid w:val="009C044D"/>
    <w:rsid w:val="009C268D"/>
    <w:rsid w:val="009C3736"/>
    <w:rsid w:val="009C3B15"/>
    <w:rsid w:val="009C57B3"/>
    <w:rsid w:val="009D3E40"/>
    <w:rsid w:val="009D481F"/>
    <w:rsid w:val="009D718D"/>
    <w:rsid w:val="009E311D"/>
    <w:rsid w:val="009E3FA2"/>
    <w:rsid w:val="009E7D79"/>
    <w:rsid w:val="009F2B71"/>
    <w:rsid w:val="009F6DAF"/>
    <w:rsid w:val="00A00CA2"/>
    <w:rsid w:val="00A051B7"/>
    <w:rsid w:val="00A07AB7"/>
    <w:rsid w:val="00A1072F"/>
    <w:rsid w:val="00A12FE9"/>
    <w:rsid w:val="00A155E4"/>
    <w:rsid w:val="00A16261"/>
    <w:rsid w:val="00A216EE"/>
    <w:rsid w:val="00A261B1"/>
    <w:rsid w:val="00A2692D"/>
    <w:rsid w:val="00A27429"/>
    <w:rsid w:val="00A32485"/>
    <w:rsid w:val="00A34703"/>
    <w:rsid w:val="00A42241"/>
    <w:rsid w:val="00A45E5F"/>
    <w:rsid w:val="00A50106"/>
    <w:rsid w:val="00A54299"/>
    <w:rsid w:val="00A558F4"/>
    <w:rsid w:val="00A651F7"/>
    <w:rsid w:val="00A71398"/>
    <w:rsid w:val="00A72807"/>
    <w:rsid w:val="00A750ED"/>
    <w:rsid w:val="00A7748C"/>
    <w:rsid w:val="00A803A3"/>
    <w:rsid w:val="00A83250"/>
    <w:rsid w:val="00A838BC"/>
    <w:rsid w:val="00A93E41"/>
    <w:rsid w:val="00A93FAC"/>
    <w:rsid w:val="00AA1A34"/>
    <w:rsid w:val="00AA22DE"/>
    <w:rsid w:val="00AA350F"/>
    <w:rsid w:val="00AA6142"/>
    <w:rsid w:val="00AB04B3"/>
    <w:rsid w:val="00AB33D6"/>
    <w:rsid w:val="00AB6772"/>
    <w:rsid w:val="00AC0FEC"/>
    <w:rsid w:val="00AC119B"/>
    <w:rsid w:val="00AC4D6B"/>
    <w:rsid w:val="00AD0265"/>
    <w:rsid w:val="00AE3364"/>
    <w:rsid w:val="00AE58DA"/>
    <w:rsid w:val="00AF118D"/>
    <w:rsid w:val="00AF1888"/>
    <w:rsid w:val="00AF2894"/>
    <w:rsid w:val="00AF3AD8"/>
    <w:rsid w:val="00AF589B"/>
    <w:rsid w:val="00AF6F95"/>
    <w:rsid w:val="00B069CD"/>
    <w:rsid w:val="00B161BA"/>
    <w:rsid w:val="00B16EB5"/>
    <w:rsid w:val="00B17CAD"/>
    <w:rsid w:val="00B202F9"/>
    <w:rsid w:val="00B21362"/>
    <w:rsid w:val="00B231F5"/>
    <w:rsid w:val="00B2506E"/>
    <w:rsid w:val="00B3148F"/>
    <w:rsid w:val="00B31FC5"/>
    <w:rsid w:val="00B3276A"/>
    <w:rsid w:val="00B355B9"/>
    <w:rsid w:val="00B42203"/>
    <w:rsid w:val="00B43AEE"/>
    <w:rsid w:val="00B449B5"/>
    <w:rsid w:val="00B451CE"/>
    <w:rsid w:val="00B455AF"/>
    <w:rsid w:val="00B52048"/>
    <w:rsid w:val="00B52BF3"/>
    <w:rsid w:val="00B534CF"/>
    <w:rsid w:val="00B56C44"/>
    <w:rsid w:val="00B64A65"/>
    <w:rsid w:val="00B7655C"/>
    <w:rsid w:val="00B8375D"/>
    <w:rsid w:val="00B86DEA"/>
    <w:rsid w:val="00B914D5"/>
    <w:rsid w:val="00B91C4F"/>
    <w:rsid w:val="00B94B21"/>
    <w:rsid w:val="00B972F3"/>
    <w:rsid w:val="00BA0760"/>
    <w:rsid w:val="00BA795D"/>
    <w:rsid w:val="00BB33CA"/>
    <w:rsid w:val="00BB35A6"/>
    <w:rsid w:val="00BB5858"/>
    <w:rsid w:val="00BC4D77"/>
    <w:rsid w:val="00BC4ECF"/>
    <w:rsid w:val="00BC52BB"/>
    <w:rsid w:val="00BC5FEB"/>
    <w:rsid w:val="00BC7B75"/>
    <w:rsid w:val="00BD4675"/>
    <w:rsid w:val="00BE6C47"/>
    <w:rsid w:val="00BE76C1"/>
    <w:rsid w:val="00BF44A4"/>
    <w:rsid w:val="00BF55F6"/>
    <w:rsid w:val="00C068D1"/>
    <w:rsid w:val="00C0794D"/>
    <w:rsid w:val="00C247C0"/>
    <w:rsid w:val="00C3724F"/>
    <w:rsid w:val="00C4224C"/>
    <w:rsid w:val="00C4578C"/>
    <w:rsid w:val="00C46FB1"/>
    <w:rsid w:val="00C553BB"/>
    <w:rsid w:val="00C57514"/>
    <w:rsid w:val="00C5783E"/>
    <w:rsid w:val="00C579DE"/>
    <w:rsid w:val="00C60B61"/>
    <w:rsid w:val="00C65001"/>
    <w:rsid w:val="00C700F8"/>
    <w:rsid w:val="00C77025"/>
    <w:rsid w:val="00CA2BAD"/>
    <w:rsid w:val="00CA603D"/>
    <w:rsid w:val="00CB44E8"/>
    <w:rsid w:val="00CB669C"/>
    <w:rsid w:val="00CB7AB0"/>
    <w:rsid w:val="00CC413D"/>
    <w:rsid w:val="00CC612A"/>
    <w:rsid w:val="00CD6DF2"/>
    <w:rsid w:val="00CD7607"/>
    <w:rsid w:val="00CE4EA9"/>
    <w:rsid w:val="00CE5FCB"/>
    <w:rsid w:val="00CE66AF"/>
    <w:rsid w:val="00CF01B9"/>
    <w:rsid w:val="00CF01DF"/>
    <w:rsid w:val="00CF09CB"/>
    <w:rsid w:val="00CF0C69"/>
    <w:rsid w:val="00CF655E"/>
    <w:rsid w:val="00D01A6F"/>
    <w:rsid w:val="00D02D36"/>
    <w:rsid w:val="00D03CEA"/>
    <w:rsid w:val="00D04085"/>
    <w:rsid w:val="00D078E8"/>
    <w:rsid w:val="00D127A1"/>
    <w:rsid w:val="00D13D9C"/>
    <w:rsid w:val="00D242D7"/>
    <w:rsid w:val="00D2587D"/>
    <w:rsid w:val="00D27715"/>
    <w:rsid w:val="00D35823"/>
    <w:rsid w:val="00D37FDD"/>
    <w:rsid w:val="00D4467A"/>
    <w:rsid w:val="00D546CD"/>
    <w:rsid w:val="00D54998"/>
    <w:rsid w:val="00D5609F"/>
    <w:rsid w:val="00D612FB"/>
    <w:rsid w:val="00D6175F"/>
    <w:rsid w:val="00D61816"/>
    <w:rsid w:val="00D63E62"/>
    <w:rsid w:val="00D6561B"/>
    <w:rsid w:val="00D65897"/>
    <w:rsid w:val="00D6589C"/>
    <w:rsid w:val="00D667CC"/>
    <w:rsid w:val="00D72778"/>
    <w:rsid w:val="00D804FB"/>
    <w:rsid w:val="00D84741"/>
    <w:rsid w:val="00D928D3"/>
    <w:rsid w:val="00D944BB"/>
    <w:rsid w:val="00DA15F8"/>
    <w:rsid w:val="00DB120B"/>
    <w:rsid w:val="00DC13F5"/>
    <w:rsid w:val="00DC27FA"/>
    <w:rsid w:val="00DC45CF"/>
    <w:rsid w:val="00DC5E94"/>
    <w:rsid w:val="00DD3571"/>
    <w:rsid w:val="00DE4267"/>
    <w:rsid w:val="00DE6828"/>
    <w:rsid w:val="00DF4EA0"/>
    <w:rsid w:val="00E03230"/>
    <w:rsid w:val="00E045B3"/>
    <w:rsid w:val="00E0645C"/>
    <w:rsid w:val="00E07357"/>
    <w:rsid w:val="00E074EB"/>
    <w:rsid w:val="00E107E2"/>
    <w:rsid w:val="00E14ADD"/>
    <w:rsid w:val="00E15B3B"/>
    <w:rsid w:val="00E22412"/>
    <w:rsid w:val="00E252DB"/>
    <w:rsid w:val="00E31CD6"/>
    <w:rsid w:val="00E37038"/>
    <w:rsid w:val="00E40FCC"/>
    <w:rsid w:val="00E51436"/>
    <w:rsid w:val="00E51B3C"/>
    <w:rsid w:val="00E5243F"/>
    <w:rsid w:val="00E55A70"/>
    <w:rsid w:val="00E62B28"/>
    <w:rsid w:val="00E62FE1"/>
    <w:rsid w:val="00E65D8C"/>
    <w:rsid w:val="00E70427"/>
    <w:rsid w:val="00E714BB"/>
    <w:rsid w:val="00E9274B"/>
    <w:rsid w:val="00EA19D8"/>
    <w:rsid w:val="00EA2118"/>
    <w:rsid w:val="00EA359A"/>
    <w:rsid w:val="00EA644F"/>
    <w:rsid w:val="00EA6CAE"/>
    <w:rsid w:val="00EB6111"/>
    <w:rsid w:val="00EB76B0"/>
    <w:rsid w:val="00EC4E31"/>
    <w:rsid w:val="00ED7534"/>
    <w:rsid w:val="00EF0B13"/>
    <w:rsid w:val="00EF4041"/>
    <w:rsid w:val="00EF5AC2"/>
    <w:rsid w:val="00F0132A"/>
    <w:rsid w:val="00F044A7"/>
    <w:rsid w:val="00F04C83"/>
    <w:rsid w:val="00F0520F"/>
    <w:rsid w:val="00F0607D"/>
    <w:rsid w:val="00F07824"/>
    <w:rsid w:val="00F07CCF"/>
    <w:rsid w:val="00F11963"/>
    <w:rsid w:val="00F162F4"/>
    <w:rsid w:val="00F17C95"/>
    <w:rsid w:val="00F20A7E"/>
    <w:rsid w:val="00F25DF1"/>
    <w:rsid w:val="00F2647B"/>
    <w:rsid w:val="00F31104"/>
    <w:rsid w:val="00F327BB"/>
    <w:rsid w:val="00F332DC"/>
    <w:rsid w:val="00F360EB"/>
    <w:rsid w:val="00F41706"/>
    <w:rsid w:val="00F42015"/>
    <w:rsid w:val="00F42193"/>
    <w:rsid w:val="00F4432F"/>
    <w:rsid w:val="00F46385"/>
    <w:rsid w:val="00F46795"/>
    <w:rsid w:val="00F46B28"/>
    <w:rsid w:val="00F46D9B"/>
    <w:rsid w:val="00F50AD6"/>
    <w:rsid w:val="00F51CFC"/>
    <w:rsid w:val="00F57CEB"/>
    <w:rsid w:val="00F62256"/>
    <w:rsid w:val="00F62C04"/>
    <w:rsid w:val="00F63C0A"/>
    <w:rsid w:val="00F65F9F"/>
    <w:rsid w:val="00F669DD"/>
    <w:rsid w:val="00F767D4"/>
    <w:rsid w:val="00F80130"/>
    <w:rsid w:val="00F83C93"/>
    <w:rsid w:val="00F854E6"/>
    <w:rsid w:val="00F86990"/>
    <w:rsid w:val="00F95B15"/>
    <w:rsid w:val="00FA2261"/>
    <w:rsid w:val="00FA671B"/>
    <w:rsid w:val="00FB06A5"/>
    <w:rsid w:val="00FB7121"/>
    <w:rsid w:val="00FB719E"/>
    <w:rsid w:val="00FB75FE"/>
    <w:rsid w:val="00FC0E3E"/>
    <w:rsid w:val="00FC4ABB"/>
    <w:rsid w:val="00FC5250"/>
    <w:rsid w:val="00FD2BBC"/>
    <w:rsid w:val="00FD373A"/>
    <w:rsid w:val="00FD5B8C"/>
    <w:rsid w:val="00FD7195"/>
    <w:rsid w:val="00FD7C07"/>
    <w:rsid w:val="00FE20B2"/>
    <w:rsid w:val="00FE2D1F"/>
    <w:rsid w:val="00FE4AC1"/>
    <w:rsid w:val="00FF1876"/>
    <w:rsid w:val="00FF2D24"/>
    <w:rsid w:val="00FF6667"/>
    <w:rsid w:val="00FF7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E0D5"/>
  <w15:chartTrackingRefBased/>
  <w15:docId w15:val="{0C0549AB-54BE-45E4-8A2C-BAC6EE4B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524"/>
    <w:rPr>
      <w:color w:val="0563C1" w:themeColor="hyperlink"/>
      <w:u w:val="single"/>
    </w:rPr>
  </w:style>
  <w:style w:type="character" w:styleId="UnresolvedMention">
    <w:name w:val="Unresolved Mention"/>
    <w:basedOn w:val="DefaultParagraphFont"/>
    <w:uiPriority w:val="99"/>
    <w:semiHidden/>
    <w:unhideWhenUsed/>
    <w:rsid w:val="00520524"/>
    <w:rPr>
      <w:color w:val="605E5C"/>
      <w:shd w:val="clear" w:color="auto" w:fill="E1DFDD"/>
    </w:rPr>
  </w:style>
  <w:style w:type="character" w:styleId="BookTitle">
    <w:name w:val="Book Title"/>
    <w:basedOn w:val="DefaultParagraphFont"/>
    <w:uiPriority w:val="33"/>
    <w:qFormat/>
    <w:rsid w:val="00F41706"/>
    <w:rPr>
      <w:b/>
      <w:bCs/>
      <w:i/>
      <w:iCs/>
      <w:spacing w:val="5"/>
    </w:rPr>
  </w:style>
  <w:style w:type="table" w:styleId="TableGrid">
    <w:name w:val="Table Grid"/>
    <w:basedOn w:val="TableNormal"/>
    <w:uiPriority w:val="39"/>
    <w:rsid w:val="0030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24C"/>
    <w:pPr>
      <w:ind w:left="720"/>
      <w:contextualSpacing/>
    </w:pPr>
  </w:style>
  <w:style w:type="character" w:styleId="CommentReference">
    <w:name w:val="annotation reference"/>
    <w:basedOn w:val="DefaultParagraphFont"/>
    <w:uiPriority w:val="99"/>
    <w:semiHidden/>
    <w:unhideWhenUsed/>
    <w:rsid w:val="00D27715"/>
    <w:rPr>
      <w:sz w:val="16"/>
      <w:szCs w:val="16"/>
    </w:rPr>
  </w:style>
  <w:style w:type="paragraph" w:styleId="CommentText">
    <w:name w:val="annotation text"/>
    <w:basedOn w:val="Normal"/>
    <w:link w:val="CommentTextChar"/>
    <w:uiPriority w:val="99"/>
    <w:unhideWhenUsed/>
    <w:rsid w:val="00D27715"/>
    <w:pPr>
      <w:spacing w:line="240" w:lineRule="auto"/>
    </w:pPr>
    <w:rPr>
      <w:sz w:val="20"/>
      <w:szCs w:val="20"/>
    </w:rPr>
  </w:style>
  <w:style w:type="character" w:customStyle="1" w:styleId="CommentTextChar">
    <w:name w:val="Comment Text Char"/>
    <w:basedOn w:val="DefaultParagraphFont"/>
    <w:link w:val="CommentText"/>
    <w:uiPriority w:val="99"/>
    <w:rsid w:val="00D27715"/>
    <w:rPr>
      <w:sz w:val="20"/>
      <w:szCs w:val="20"/>
    </w:rPr>
  </w:style>
  <w:style w:type="paragraph" w:styleId="CommentSubject">
    <w:name w:val="annotation subject"/>
    <w:basedOn w:val="CommentText"/>
    <w:next w:val="CommentText"/>
    <w:link w:val="CommentSubjectChar"/>
    <w:uiPriority w:val="99"/>
    <w:semiHidden/>
    <w:unhideWhenUsed/>
    <w:rsid w:val="00D27715"/>
    <w:rPr>
      <w:b/>
      <w:bCs/>
    </w:rPr>
  </w:style>
  <w:style w:type="character" w:customStyle="1" w:styleId="CommentSubjectChar">
    <w:name w:val="Comment Subject Char"/>
    <w:basedOn w:val="CommentTextChar"/>
    <w:link w:val="CommentSubject"/>
    <w:uiPriority w:val="99"/>
    <w:semiHidden/>
    <w:rsid w:val="00D27715"/>
    <w:rPr>
      <w:b/>
      <w:bCs/>
      <w:sz w:val="20"/>
      <w:szCs w:val="20"/>
    </w:rPr>
  </w:style>
  <w:style w:type="character" w:styleId="FollowedHyperlink">
    <w:name w:val="FollowedHyperlink"/>
    <w:basedOn w:val="DefaultParagraphFont"/>
    <w:uiPriority w:val="99"/>
    <w:semiHidden/>
    <w:unhideWhenUsed/>
    <w:rsid w:val="000434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683917">
      <w:bodyDiv w:val="1"/>
      <w:marLeft w:val="0"/>
      <w:marRight w:val="0"/>
      <w:marTop w:val="0"/>
      <w:marBottom w:val="0"/>
      <w:divBdr>
        <w:top w:val="none" w:sz="0" w:space="0" w:color="auto"/>
        <w:left w:val="none" w:sz="0" w:space="0" w:color="auto"/>
        <w:bottom w:val="none" w:sz="0" w:space="0" w:color="auto"/>
        <w:right w:val="none" w:sz="0" w:space="0" w:color="auto"/>
      </w:divBdr>
    </w:div>
    <w:div w:id="19997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1473-3099(19)3041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007/s00284-018-1510-4" TargetMode="External"/><Relationship Id="rId12" Type="http://schemas.openxmlformats.org/officeDocument/2006/relationships/hyperlink" Target="https://www.qiagen.com/us/resources/download.aspx?id=22df6325-9579-4aa0-819c-788f73d81a09&amp;la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3389/fmicb.2018.01731" TargetMode="External"/><Relationship Id="rId11" Type="http://schemas.openxmlformats.org/officeDocument/2006/relationships/hyperlink" Target="https://www.cdc.gov/narms/antibiotics-tested.html" TargetMode="External"/><Relationship Id="rId5" Type="http://schemas.openxmlformats.org/officeDocument/2006/relationships/webSettings" Target="webSettings.xml"/><Relationship Id="rId10" Type="http://schemas.openxmlformats.org/officeDocument/2006/relationships/hyperlink" Target="https://doi.org/10.1111/j.1469-0691.2011.03570.x" TargetMode="External"/><Relationship Id="rId4" Type="http://schemas.openxmlformats.org/officeDocument/2006/relationships/settings" Target="settings.xml"/><Relationship Id="rId9" Type="http://schemas.openxmlformats.org/officeDocument/2006/relationships/hyperlink" Target="https://doi.org/10.3389/fmicb.2011.001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6DEC-5AA4-4643-85A7-51C939B0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Amorgianou</dc:creator>
  <cp:keywords/>
  <dc:description/>
  <cp:lastModifiedBy>Anna Amorgianou</cp:lastModifiedBy>
  <cp:revision>3</cp:revision>
  <dcterms:created xsi:type="dcterms:W3CDTF">2023-09-12T09:28:00Z</dcterms:created>
  <dcterms:modified xsi:type="dcterms:W3CDTF">2023-09-12T10:00:00Z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842815a0-4ab4-40aa-818f-a2d4333c7505</vt:lpwstr>
  </property>
</Properties>
</file>